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48"/>
        </w:rPr>
        <w:t>当前模型口径与阶段实施路线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95959"/>
          <w:sz w:val="26"/>
        </w:rPr>
        <w:t>Codex执行版 v1.0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MODEL-ROUTE-001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文档版本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适用项目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风光水火储递推降阶解耦算法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目标环境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MATLAB R2024a；稀疏线性代数；Parallel Computing Toolbox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模板/受控启动资料；数值结果必须由真实运行生成</w:t>
            </w:r>
          </w:p>
        </w:tc>
      </w:tr>
    </w:tbl>
    <w:p>
      <w:r>
        <w:br w:type="page"/>
      </w:r>
    </w:p>
    <w:p>
      <w:pPr>
        <w:pStyle w:val="Heading1"/>
      </w:pPr>
      <w:r>
        <w:t>1. 冻结结论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统一单层年度模型；工程验证从7日扩展到365日。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每日SOC初始和末端均为0.5E，日期之间无SOC链接。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Pch与Pdis为独立连续变量，允许同时为正，不建立净储能功率变量。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火电采用两次连续求解：第一次0到Pmax，第二次按30%阈值固定停机并对开机时段恢复原始Pmin。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最小开停机时间和启动/停机成本延期，但用FUTURE-UC编号永久追踪。</w:t>
      </w:r>
    </w:p>
    <w:p>
      <w:pPr>
        <w:pStyle w:val="Heading1"/>
      </w:pPr>
      <w:r>
        <w:t>2. 核心数学结构</w:t>
      </w:r>
    </w:p>
    <w:p>
      <w:r>
        <w:rPr>
          <w:rFonts w:ascii="Noto Sans CJK SC" w:hAnsi="Noto Sans CJK SC" w:eastAsia="Noto Sans CJK SC" w:cs="Noto Sans CJK SC"/>
        </w:rPr>
        <w:t>功率平衡：风电 + 光伏 + 水电 + 火电 + 放电 - 充电 - 计划功率 = 0。</w:t>
      </w:r>
    </w:p>
    <w:p>
      <w:r>
        <w:rPr>
          <w:rFonts w:ascii="Noto Sans CJK SC" w:hAnsi="Noto Sans CJK SC" w:eastAsia="Noto Sans CJK SC" w:cs="Noto Sans CJK SC"/>
        </w:rPr>
        <w:t>SOC：首小时从0.5E开始递推，24小时末回到0.5E；每日电量周期独立。</w:t>
      </w:r>
    </w:p>
    <w:p>
      <w:r>
        <w:rPr>
          <w:rFonts w:ascii="Noto Sans CJK SC" w:hAnsi="Noto Sans CJK SC" w:eastAsia="Noto Sans CJK SC" w:cs="Noto Sans CJK SC"/>
        </w:rPr>
        <w:t>阶段A容量向量严格14维：5风、5光、2储能功率、2储能能量；加2个储能时长乘子构成16维核心。</w:t>
      </w:r>
    </w:p>
    <w:p>
      <w:pPr>
        <w:pStyle w:val="Heading1"/>
      </w:pPr>
      <w:r>
        <w:t>3. 递推路线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用同一个linearization对象生成完整KKT和递推块。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精确消去局部不等式松弛与乘子方向。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按小时形成变维鞍点块D、相邻SOC连接E、容量多右端B。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用块LDL/Thomas一次求解残差和14个容量方向。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形成每日日响应S_d和c_d。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汇总16维核心并求解全局方向。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逐日逐小时回代，恢复dx、dy、dl、dz和固定零物理数组。</w:t>
      </w:r>
    </w:p>
    <w:p>
      <w:pPr>
        <w:pStyle w:val="Heading1"/>
      </w:pPr>
      <w:r>
        <w:t>4. 并行路线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</w:trPr>
        <w:tc>
          <w:tcPr>
            <w:tcW w:type="dxa" w:w="141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并行单位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主要用途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日层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每个日期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14维容量及日级边框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全年主要并行层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日内层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连续6小时块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两座储能首末SOC+容量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短窗口或补充并行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禁止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非连续小时或嵌套parfor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会制造过多接口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不得采用</w:t>
            </w:r>
          </w:p>
        </w:tc>
      </w:tr>
    </w:tbl>
    <w:p/>
    <w:p>
      <w:pPr>
        <w:pStyle w:val="Heading1"/>
      </w:pPr>
      <w:r>
        <w:t>5. 验收与失败语义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方向和完整KKT代回残差门槛均为1e-10。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第二次火电不可行必须归因于固定掩码模型，不得伪装成算法失败或擅改阈值。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递推失败不得回退到完整KKT方向冒充成功。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报告必须列出本次启用/未启用目标和约束。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E6E6E"/>
        <w:sz w:val="16"/>
      </w:rPr>
      <w:t>受控资料 | 版本 1.0 | 2026-07-18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5A5A5A"/>
        <w:sz w:val="17"/>
      </w:rPr>
      <w:t>当前模型口径与阶段实施路线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