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Noto Sans CJK SC" w:hAnsi="Noto Sans CJK SC" w:eastAsia="Noto Sans CJK SC" w:cs="Noto Sans CJK SC"/>
          <w:b/>
          <w:color w:val="17365D"/>
          <w:sz w:val="48"/>
        </w:rPr>
        <w:t>Codex 项目启动资料说明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95959"/>
          <w:sz w:val="26"/>
        </w:rPr>
        <w:t>风光水火储递推降阶解耦算法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文档编号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CODEX-START-001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文档版本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适用项目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风光水火储递推降阶解耦算法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目标环境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MATLAB R2024a；稀疏线性代数；Parallel Computing Toolbox</w:t>
            </w:r>
          </w:p>
        </w:tc>
      </w:tr>
      <w:tr>
        <w:trPr>
          <w:cantSplit/>
        </w:trPr>
        <w:tc>
          <w:tcPr>
            <w:tcW w:type="dxa" w:w="492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模板/受控启动资料；数值结果必须由真实运行生成</w:t>
            </w:r>
          </w:p>
        </w:tc>
      </w:tr>
    </w:tbl>
    <w:p>
      <w:r>
        <w:br w:type="page"/>
      </w:r>
    </w:p>
    <w:p>
      <w:pPr>
        <w:pStyle w:val="Heading1"/>
      </w:pPr>
      <w:r>
        <w:t>1. 资料包用途</w:t>
      </w:r>
    </w:p>
    <w:p>
      <w:r>
        <w:rPr>
          <w:rFonts w:ascii="Noto Sans CJK SC" w:hAnsi="Noto Sans CJK SC" w:eastAsia="Noto Sans CJK SC" w:cs="Noto Sans CJK SC"/>
        </w:rPr>
        <w:t>本资料包把模型口径、数学合同、阶段任务、验收门禁、运行证据和中文报告要求写入项目仓库，使 Codex 可以在长任务中持续工作而不依赖一次聊天提示。</w:t>
      </w:r>
    </w:p>
    <w:p>
      <w:pPr>
        <w:pStyle w:val="Heading1"/>
      </w:pPr>
      <w:r>
        <w:t>2. 第一轮只做什么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打开项目根目录并读取根 AGENTS.md。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发送“交给Codex的首次任务.md”。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只完成阶段0：环境、数据、索引框架、工件和报告基础设施。</w:t>
      </w:r>
    </w:p>
    <w:p>
      <w:pPr>
        <w:pStyle w:val="ListNumber"/>
      </w:pPr>
      <w:r>
        <w:rPr>
          <w:rFonts w:ascii="Noto Sans CJK SC" w:hAnsi="Noto Sans CJK SC" w:eastAsia="Noto Sans CJK SC" w:cs="Noto Sans CJK SC"/>
        </w:rPr>
        <w:t>阶段0全部阻断性验收通过后，才进入阶段A1。</w:t>
      </w:r>
    </w:p>
    <w:p>
      <w:pPr>
        <w:pStyle w:val="Heading1"/>
      </w:pPr>
      <w:r>
        <w:t>3. 已冻结的模型口径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680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冻结结论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模型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统一单层年度模型；先7日后365日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SOC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每日初始和末端均为0.5E；不跨日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储能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Pch/Pdis独立连续变量；允许同时为正；无净功率变量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火电第一次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0到Pmax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火电第二次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第一次低于0.3Pmax时固定0；其余恢复原始Pmin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暂缓</w:t>
            </w:r>
          </w:p>
        </w:tc>
        <w:tc>
          <w:tcPr>
            <w:tcW w:type="dxa" w:w="6803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最小开停机、启动/停机成本、最终年度多目标</w:t>
            </w:r>
          </w:p>
        </w:tc>
      </w:tr>
    </w:tbl>
    <w:p/>
    <w:p>
      <w:pPr>
        <w:pStyle w:val="Heading1"/>
      </w:pPr>
      <w:r>
        <w:t>4. 阶段路线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141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1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主要目标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数据窗口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0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环境、数据、索引、工件、报告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完整Excel审计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A1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3小时单次方向等价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第1日8-10时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A2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24小时变维块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第14日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A3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7日日响应与16维核心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第14-20日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A4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7日完整内点迭代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第14-20日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B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水电每日水量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第14-20日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C1/C2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火电两次连续求解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第14-20日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D1/D2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按日和6小时块并行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第14-20日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D3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365日真实性能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第1-365日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E/F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年度多目标、UC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待用户决策/延期</w:t>
            </w:r>
          </w:p>
        </w:tc>
      </w:tr>
    </w:tbl>
    <w:p/>
    <w:p>
      <w:pPr>
        <w:pStyle w:val="Heading1"/>
      </w:pPr>
      <w:r>
        <w:t>5. Codex 的通过条件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递推方向与完整KKT方向相对误差不超过1e-10。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递推方向代回完整KKT相对残差不超过1e-10。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优化原始、对偶和互补残差达到1e-8默认门槛。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每次运行生成不可覆盖的CSV/MAT/JSON证据和中文Word报告。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任何阻断性失败必须修复并回归，不能降低阈值或跳过测试。</w:t>
      </w:r>
    </w:p>
    <w:p>
      <w:pPr>
        <w:pStyle w:val="Heading1"/>
      </w:pPr>
      <w:r>
        <w:t>6. 关键文件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  <w:cantSplit/>
        </w:trPr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56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AGENTS.md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全项目不可违反的规则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交给Codex的首次任务.md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第一次直接发送给Codex的任务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docs/02_最终模型合同_v1.0.md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正式模型边界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docs/08_矩阵分块与回代合同.md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递推算法和回代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stages/*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每个阶段的AGENTS、长任务、验收矩阵和状态日志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templates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中文Word和CSV模板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references/controlled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受控论文和模型资料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inputs/raw</w:t>
            </w:r>
          </w:p>
        </w:tc>
        <w:tc>
          <w:tcPr>
            <w:tcW w:type="dxa" w:w="5669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只读原始数据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E6E6E"/>
        <w:sz w:val="16"/>
      </w:rPr>
      <w:t>受控资料 | 版本 1.0 | 2026-07-18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5A5A5A"/>
        <w:sz w:val="17"/>
      </w:rPr>
      <w:t>Codex项目启动资料说明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