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F0C99">
      <w:pPr>
        <w:spacing w:line="360" w:lineRule="auto"/>
      </w:pPr>
    </w:p>
    <w:p w14:paraId="7B53200C">
      <w:pPr>
        <w:spacing w:line="360" w:lineRule="auto"/>
      </w:pPr>
      <w:r>
        <w:t>（一）</w:t>
      </w:r>
      <w:r>
        <w:rPr>
          <w:rFonts w:hint="eastAsia"/>
        </w:rPr>
        <w:t>．</w:t>
      </w:r>
      <w:r>
        <w:t>下层模型</w:t>
      </w:r>
    </w:p>
    <w:p w14:paraId="3F015DBA">
      <w:pPr>
        <w:spacing w:line="360" w:lineRule="auto"/>
      </w:pPr>
      <w:r>
        <w:rPr>
          <w:rFonts w:hint="eastAsia"/>
        </w:rPr>
        <w:t>按月计算出力，计算1</w:t>
      </w:r>
      <w:r>
        <w:t>2次</w:t>
      </w:r>
    </w:p>
    <w:p w14:paraId="32757BAB">
      <w:pPr>
        <w:pStyle w:val="9"/>
        <w:numPr>
          <w:ilvl w:val="0"/>
          <w:numId w:val="1"/>
        </w:numPr>
        <w:ind w:firstLineChars="0"/>
      </w:pPr>
      <w:r>
        <w:t>定风光水火储每个小时的出力（</w:t>
      </w:r>
      <w:bookmarkStart w:id="0" w:name="MTBlankEqn"/>
      <w:r>
        <w:rPr>
          <w:position w:val="-8"/>
        </w:rPr>
        <w:object>
          <v:shape id="_x0000_i1025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bookmarkEnd w:id="0"/>
      <w:r>
        <w:t>，</w:t>
      </w:r>
      <w:r>
        <w:rPr>
          <w:position w:val="-8"/>
        </w:rPr>
        <w:object>
          <v:shape id="_x0000_i1026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27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28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29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t>）</w:t>
      </w:r>
    </w:p>
    <w:p w14:paraId="60161374">
      <w:pPr>
        <w:pStyle w:val="9"/>
        <w:numPr>
          <w:ilvl w:val="0"/>
          <w:numId w:val="1"/>
        </w:numPr>
        <w:ind w:firstLineChars="0"/>
      </w:pPr>
      <w:r>
        <w:t>每个月的风电和光伏的额定容量（</w:t>
      </w:r>
      <w:r>
        <w:rPr>
          <w:position w:val="-8"/>
        </w:rPr>
        <w:object>
          <v:shape id="_x0000_i1030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31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32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33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t>）会有</w:t>
      </w:r>
      <w:r>
        <w:rPr>
          <w:rFonts w:hint="eastAsia"/>
        </w:rPr>
        <w:t>1</w:t>
      </w:r>
      <w:r>
        <w:t>2个不同的额定容量</w:t>
      </w:r>
    </w:p>
    <w:p w14:paraId="49F53C28">
      <w:pPr>
        <w:pStyle w:val="9"/>
        <w:numPr>
          <w:ilvl w:val="0"/>
          <w:numId w:val="1"/>
        </w:numPr>
        <w:ind w:firstLineChars="0"/>
      </w:pPr>
      <w:r>
        <w:t>模型收敛，计算每个厂每个月的电量（</w:t>
      </w:r>
      <w:r>
        <w:rPr>
          <w:position w:val="-10"/>
        </w:rPr>
        <w:object>
          <v:shape id="_x0000_i1034" o:spt="75" type="#_x0000_t75" style="height:18.7pt;width:131.8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t>）做为上层模型的变量初值及上下限约束条件</w:t>
      </w:r>
    </w:p>
    <w:p w14:paraId="60119D66">
      <w:pPr>
        <w:pStyle w:val="9"/>
        <w:numPr>
          <w:ilvl w:val="0"/>
          <w:numId w:val="2"/>
        </w:numPr>
        <w:spacing w:before="240" w:line="360" w:lineRule="auto"/>
        <w:ind w:firstLineChars="0"/>
      </w:pPr>
      <w:r>
        <w:t>目标函数</w:t>
      </w:r>
    </w:p>
    <w:p w14:paraId="1ED04E37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综合投资成本最低：风电、光伏和储能站的投资成本</w:t>
      </w:r>
    </w:p>
    <w:p w14:paraId="385546A2">
      <w:pPr>
        <w:spacing w:line="360" w:lineRule="auto"/>
        <w:ind w:firstLine="420"/>
      </w:pPr>
      <w:r>
        <w:rPr>
          <w:position w:val="-62"/>
          <w:highlight w:val="cyan"/>
        </w:rPr>
        <w:object>
          <v:shape id="_x0000_i1035" o:spt="75" type="#_x0000_t75" style="height:67.3pt;width:228.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 w14:paraId="5CBA3509">
      <w:pPr>
        <w:ind w:firstLine="420" w:firstLineChars="200"/>
      </w:pPr>
      <w:r>
        <w:rPr>
          <w:rFonts w:hint="eastAsia"/>
        </w:rPr>
        <w:t>优化结束之后综合投资成本根据下式计算：</w:t>
      </w:r>
    </w:p>
    <w:p w14:paraId="4CE51FD3">
      <w:pPr>
        <w:ind w:firstLine="420" w:firstLineChars="200"/>
      </w:pPr>
      <w:r>
        <w:rPr>
          <w:position w:val="-36"/>
        </w:rPr>
        <w:object>
          <v:shape id="_x0000_i1036" o:spt="75" type="#_x0000_t75" style="height:42.1pt;width:290.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 w14:paraId="0FCB03B1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综合度电成本最低：水电、火电、风电和光伏的上网电价，储能站的电度成本</w:t>
      </w:r>
    </w:p>
    <w:p w14:paraId="62CF7BF0">
      <w:pPr>
        <w:spacing w:line="360" w:lineRule="auto"/>
        <w:ind w:firstLine="420" w:firstLineChars="200"/>
      </w:pPr>
      <w:r>
        <w:rPr>
          <w:position w:val="-66"/>
          <w:highlight w:val="cyan"/>
        </w:rPr>
        <w:object>
          <v:shape id="_x0000_i1037" o:spt="75" type="#_x0000_t75" style="height:72pt;width:310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 w14:paraId="3A3A5B61">
      <w:pPr>
        <w:spacing w:line="360" w:lineRule="auto"/>
        <w:ind w:firstLine="420" w:firstLineChars="200"/>
      </w:pPr>
      <w:r>
        <w:rPr>
          <w:rFonts w:hint="eastAsia"/>
        </w:rPr>
        <w:t>T：若该月有3</w:t>
      </w:r>
      <w:r>
        <w:t>1</w:t>
      </w:r>
      <w:r>
        <w:rPr>
          <w:rFonts w:hint="eastAsia"/>
        </w:rPr>
        <w:t>天，则T</w:t>
      </w:r>
      <w:r>
        <w:t>=31*24=744</w:t>
      </w:r>
    </w:p>
    <w:p w14:paraId="5C5F7377">
      <w:pPr>
        <w:ind w:firstLine="420" w:firstLineChars="200"/>
      </w:pPr>
      <w:r>
        <w:rPr>
          <w:rFonts w:hint="eastAsia"/>
        </w:rPr>
        <w:t>优化结束之后综合度电成本根据下式计算：</w:t>
      </w:r>
    </w:p>
    <w:p w14:paraId="74397CBF">
      <w:pPr>
        <w:spacing w:line="360" w:lineRule="auto"/>
        <w:ind w:firstLine="420" w:firstLineChars="200"/>
      </w:pPr>
      <w:r>
        <w:rPr>
          <w:position w:val="-32"/>
        </w:rPr>
        <w:object>
          <v:shape id="_x0000_i1038" o:spt="75" type="#_x0000_t75" style="height:38.35pt;width:307.6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 w14:paraId="4CD296A8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新能源弃电率最小</w:t>
      </w:r>
    </w:p>
    <w:p w14:paraId="45EA7729">
      <w:pPr>
        <w:spacing w:line="360" w:lineRule="auto"/>
        <w:ind w:firstLine="420" w:firstLineChars="200"/>
      </w:pPr>
      <w:r>
        <w:rPr>
          <w:position w:val="-32"/>
          <w:highlight w:val="cyan"/>
        </w:rPr>
        <w:object>
          <v:shape id="_x0000_i1039" o:spt="75" type="#_x0000_t75" style="height:55.15pt;width:228.1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 w14:paraId="3A8745BB">
      <w:pPr>
        <w:ind w:firstLine="420" w:firstLineChars="200"/>
      </w:pPr>
      <w:r>
        <w:rPr>
          <w:rFonts w:hint="eastAsia"/>
        </w:rPr>
        <w:t>优化结束之后新能源弃电率根据下式计算：</w:t>
      </w:r>
    </w:p>
    <w:p w14:paraId="7114A34E">
      <w:pPr>
        <w:spacing w:line="360" w:lineRule="auto"/>
        <w:ind w:firstLine="420" w:firstLineChars="200"/>
      </w:pPr>
      <w:r>
        <w:rPr>
          <w:position w:val="-66"/>
        </w:rPr>
        <w:object>
          <v:shape id="_x0000_i1040" o:spt="75" type="#_x0000_t75" style="height:72pt;width:263.7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4EEA2859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新能源电量占比最大</w:t>
      </w:r>
    </w:p>
    <w:p w14:paraId="081AD0FA">
      <w:pPr>
        <w:spacing w:line="360" w:lineRule="auto"/>
        <w:ind w:firstLine="420"/>
      </w:pPr>
      <w:r>
        <w:rPr>
          <w:position w:val="-32"/>
          <w:highlight w:val="cyan"/>
        </w:rPr>
        <w:object>
          <v:shape id="_x0000_i1041" o:spt="75" type="#_x0000_t75" style="height:55.15pt;width:135.6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 w14:paraId="26073E18">
      <w:pPr>
        <w:spacing w:line="360" w:lineRule="auto"/>
        <w:ind w:firstLine="420"/>
      </w:pPr>
      <w:r>
        <w:rPr>
          <w:rFonts w:hint="eastAsia"/>
        </w:rPr>
        <w:t>优化结束之后新能源电量占比根据下式计算：</w:t>
      </w:r>
    </w:p>
    <w:p w14:paraId="38251793">
      <w:pPr>
        <w:spacing w:line="360" w:lineRule="auto"/>
        <w:ind w:firstLine="420"/>
      </w:pPr>
      <w:r>
        <w:rPr>
          <w:position w:val="-60"/>
        </w:rPr>
        <w:object>
          <v:shape id="_x0000_i1042" o:spt="75" type="#_x0000_t75" style="height:69.2pt;width:171.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56095024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碳排放最低</w:t>
      </w:r>
    </w:p>
    <w:p w14:paraId="4DD30231">
      <w:pPr>
        <w:pStyle w:val="9"/>
        <w:spacing w:line="360" w:lineRule="auto"/>
        <w:ind w:left="420" w:firstLine="0" w:firstLineChars="0"/>
        <w:rPr>
          <w:highlight w:val="cyan"/>
        </w:rPr>
      </w:pPr>
      <w:r>
        <w:rPr>
          <w:position w:val="-28"/>
          <w:highlight w:val="cyan"/>
        </w:rPr>
        <w:object>
          <v:shape id="_x0000_i1043" o:spt="75" type="#_x0000_t75" style="height:50.5pt;width:162.7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highlight w:val="cyan"/>
        </w:rPr>
        <w:t>（火电煤耗特性线性化后一次项系数的平均值）</w:t>
      </w:r>
    </w:p>
    <w:p w14:paraId="5703396E">
      <w:pPr>
        <w:pStyle w:val="9"/>
        <w:spacing w:line="360" w:lineRule="auto"/>
        <w:ind w:left="420" w:firstLine="0" w:firstLineChars="0"/>
        <w:rPr>
          <w:highlight w:val="cyan"/>
        </w:rPr>
      </w:pPr>
      <w:r>
        <w:rPr>
          <w:position w:val="-28"/>
          <w:highlight w:val="cyan"/>
        </w:rPr>
        <w:object>
          <v:shape id="_x0000_i1044" o:spt="75" type="#_x0000_t75" style="height:50.5pt;width:59.8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highlight w:val="cyan"/>
        </w:rPr>
        <w:t>（碳排放系数的平均值）</w:t>
      </w:r>
    </w:p>
    <w:p w14:paraId="5181DDB7">
      <w:pPr>
        <w:pStyle w:val="9"/>
        <w:spacing w:line="360" w:lineRule="auto"/>
        <w:ind w:left="420" w:firstLine="0" w:firstLineChars="0"/>
      </w:pPr>
      <w:r>
        <w:rPr>
          <w:position w:val="-30"/>
          <w:highlight w:val="cyan"/>
        </w:rPr>
        <w:object>
          <v:shape id="_x0000_i1045" o:spt="75" type="#_x0000_t75" style="height:52.35pt;width:221.6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 w14:paraId="5E57D223">
      <w:pPr>
        <w:spacing w:line="360" w:lineRule="auto"/>
        <w:ind w:firstLine="420"/>
      </w:pPr>
      <w:r>
        <w:rPr>
          <w:rFonts w:hint="eastAsia"/>
        </w:rPr>
        <w:t>优化结束之后碳排放根据下式计算：</w:t>
      </w:r>
    </w:p>
    <w:p w14:paraId="17057D22">
      <w:pPr>
        <w:spacing w:line="360" w:lineRule="auto"/>
        <w:ind w:firstLine="420"/>
      </w:pPr>
      <w:r>
        <w:rPr>
          <w:position w:val="-28"/>
        </w:rPr>
        <w:object>
          <v:shape id="_x0000_i1046" o:spt="75" type="#_x0000_t75" style="height:35.55pt;width:218.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 w14:paraId="07CFB6DA">
      <w:pPr>
        <w:pStyle w:val="9"/>
        <w:numPr>
          <w:ilvl w:val="0"/>
          <w:numId w:val="3"/>
        </w:numPr>
        <w:spacing w:line="360" w:lineRule="auto"/>
        <w:ind w:firstLineChars="0"/>
      </w:pPr>
      <w:r>
        <w:t>水能利用率最大</w:t>
      </w:r>
    </w:p>
    <w:p w14:paraId="24F09B5D">
      <w:pPr>
        <w:pStyle w:val="9"/>
        <w:spacing w:line="360" w:lineRule="auto"/>
        <w:ind w:left="420" w:firstLine="0" w:firstLineChars="0"/>
        <w:rPr>
          <w:highlight w:val="cyan"/>
        </w:rPr>
      </w:pPr>
      <w:r>
        <w:rPr>
          <w:position w:val="-24"/>
          <w:highlight w:val="cyan"/>
        </w:rPr>
        <w:object>
          <v:shape id="_x0000_i1047" o:spt="75" type="#_x0000_t75" style="height:47.7pt;width:166.4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/>
          <w:highlight w:val="cyan"/>
        </w:rPr>
        <w:t>（水电用水特性线性化后一次项系数的平均值）</w:t>
      </w:r>
    </w:p>
    <w:p w14:paraId="46A68D3B">
      <w:pPr>
        <w:pStyle w:val="9"/>
        <w:spacing w:line="360" w:lineRule="auto"/>
        <w:ind w:left="420" w:firstLine="0" w:firstLineChars="0"/>
      </w:pPr>
      <w:r>
        <w:rPr>
          <w:position w:val="-30"/>
          <w:highlight w:val="cyan"/>
        </w:rPr>
        <w:object>
          <v:shape id="_x0000_i1048" o:spt="75" type="#_x0000_t75" style="height:50.5pt;width:129.9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 w14:paraId="2B52C843">
      <w:pPr>
        <w:pStyle w:val="9"/>
        <w:numPr>
          <w:ilvl w:val="0"/>
          <w:numId w:val="3"/>
        </w:numPr>
        <w:spacing w:line="360" w:lineRule="auto"/>
        <w:ind w:firstLineChars="0"/>
        <w:rPr>
          <w:rFonts w:hint="eastAsia"/>
        </w:rPr>
      </w:pPr>
      <w:r>
        <w:t>火电发电成本最小</w:t>
      </w:r>
    </w:p>
    <w:p w14:paraId="56BC13EA">
      <w:pPr>
        <w:pStyle w:val="9"/>
        <w:spacing w:line="360" w:lineRule="auto"/>
        <w:ind w:left="420" w:firstLine="0" w:firstLineChars="0"/>
      </w:pPr>
      <w:r>
        <w:rPr>
          <w:position w:val="-28"/>
          <w:highlight w:val="cyan"/>
        </w:rPr>
        <w:object>
          <v:shape id="_x0000_i1049" o:spt="75" type="#_x0000_t75" style="height:50.5pt;width:162.7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/>
          <w:highlight w:val="cyan"/>
        </w:rPr>
        <w:t>（火电煤耗特性线性化后一次项系数的平均值）</w:t>
      </w:r>
    </w:p>
    <w:p w14:paraId="20FA31B4">
      <w:pPr>
        <w:pStyle w:val="9"/>
        <w:spacing w:line="360" w:lineRule="auto"/>
        <w:ind w:left="420" w:firstLine="0" w:firstLineChars="0"/>
      </w:pPr>
      <w:r>
        <w:rPr>
          <w:position w:val="-28"/>
          <w:highlight w:val="cyan"/>
        </w:rPr>
        <w:object>
          <v:shape id="_x0000_i1050" o:spt="75" type="#_x0000_t75" style="height:50.5pt;width:75.7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/>
          <w:highlight w:val="cyan"/>
        </w:rPr>
        <w:t>（火电发电系数的平均值）</w:t>
      </w:r>
    </w:p>
    <w:p w14:paraId="04A09F77">
      <w:pPr>
        <w:pStyle w:val="9"/>
        <w:spacing w:line="360" w:lineRule="auto"/>
        <w:ind w:left="420" w:firstLine="0" w:firstLineChars="0"/>
      </w:pPr>
      <w:r>
        <w:rPr>
          <w:position w:val="-32"/>
          <w:highlight w:val="cyan"/>
        </w:rPr>
        <w:object>
          <v:shape id="_x0000_i1051" o:spt="75" type="#_x0000_t75" style="height:53.3pt;width:296.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</w:p>
    <w:p w14:paraId="1C10598F">
      <w:pPr>
        <w:spacing w:line="360" w:lineRule="auto"/>
        <w:ind w:firstLine="420" w:firstLineChars="200"/>
      </w:pPr>
      <w:r>
        <w:rPr>
          <w:rFonts w:hint="eastAsia"/>
        </w:rPr>
        <w:t>优化结束后火电发电成本仍根据下式计算：</w:t>
      </w:r>
    </w:p>
    <w:p w14:paraId="6F62EBCC">
      <w:pPr>
        <w:pStyle w:val="9"/>
        <w:spacing w:line="360" w:lineRule="auto"/>
        <w:ind w:left="420" w:firstLine="0" w:firstLineChars="0"/>
        <w:rPr>
          <w:rFonts w:hint="default" w:eastAsiaTheme="minorEastAsia"/>
          <w:lang w:val="en-US" w:eastAsia="zh-CN"/>
        </w:rPr>
      </w:pPr>
      <w:r>
        <w:rPr>
          <w:position w:val="-28"/>
        </w:rPr>
        <w:object>
          <v:shape id="_x0000_i1052" o:spt="75" type="#_x0000_t75" style="height:35.55pt;width:294.5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/>
          <w:position w:val="-28"/>
          <w:lang w:val="en-US" w:eastAsia="zh-CN"/>
        </w:rPr>
        <w:t>这里公式应该写错了，后面那段应该是启动成本，是判断前一个状态是否是关机</w:t>
      </w:r>
    </w:p>
    <w:p w14:paraId="57925827">
      <w:pPr>
        <w:pStyle w:val="9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综合售电收益最高</w:t>
      </w:r>
    </w:p>
    <w:p w14:paraId="2BBDF9FD">
      <w:pPr>
        <w:pStyle w:val="9"/>
        <w:spacing w:line="360" w:lineRule="auto"/>
        <w:ind w:left="420" w:firstLine="0" w:firstLineChars="0"/>
      </w:pPr>
      <w:r>
        <w:rPr>
          <w:position w:val="-24"/>
          <w:highlight w:val="cyan"/>
        </w:rPr>
        <w:object>
          <v:shape id="_x0000_i1053" o:spt="75" type="#_x0000_t75" style="height:45.8pt;width:57.0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 w14:paraId="5E9844B7">
      <w:pPr>
        <w:pStyle w:val="9"/>
        <w:spacing w:line="360" w:lineRule="auto"/>
        <w:ind w:left="420" w:firstLine="0" w:firstLineChars="0"/>
      </w:pPr>
      <w:r>
        <w:rPr>
          <w:rFonts w:hint="eastAsia"/>
        </w:rPr>
        <w:t>优化结束后综合售电收益仍根据下式计算：</w:t>
      </w:r>
    </w:p>
    <w:p w14:paraId="1B6D35D3">
      <w:pPr>
        <w:pStyle w:val="9"/>
        <w:spacing w:line="360" w:lineRule="auto"/>
        <w:ind w:left="420" w:firstLine="0" w:firstLineChars="0"/>
        <w:rPr>
          <w:rFonts w:hint="eastAsia"/>
        </w:rPr>
      </w:pPr>
      <w:r>
        <w:rPr>
          <w:position w:val="-26"/>
          <w:highlight w:val="cyan"/>
        </w:rPr>
        <w:object>
          <v:shape id="_x0000_i1054" o:spt="75" type="#_x0000_t75" style="height:31.8pt;width:67.3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/>
          <w:highlight w:val="cyan"/>
        </w:rPr>
        <w:t>（式中</w:t>
      </w:r>
      <w:r>
        <w:rPr>
          <w:position w:val="-12"/>
          <w:highlight w:val="cyan"/>
        </w:rPr>
        <w:object>
          <v:shape id="_x0000_i1055" o:spt="75" type="#_x0000_t75" style="height:17.75pt;width:15.9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highlight w:val="cyan"/>
        </w:rPr>
        <w:t>为销售电价）</w:t>
      </w:r>
    </w:p>
    <w:p w14:paraId="737947EB">
      <w:pPr>
        <w:pStyle w:val="9"/>
        <w:numPr>
          <w:ilvl w:val="0"/>
          <w:numId w:val="2"/>
        </w:numPr>
        <w:spacing w:line="360" w:lineRule="auto"/>
        <w:ind w:firstLineChars="0"/>
      </w:pPr>
      <w:r>
        <w:t>等式约束</w:t>
      </w:r>
    </w:p>
    <w:p w14:paraId="0EC8F76A">
      <w:pPr>
        <w:pStyle w:val="9"/>
        <w:numPr>
          <w:ilvl w:val="0"/>
          <w:numId w:val="4"/>
        </w:numPr>
        <w:spacing w:before="240"/>
        <w:ind w:firstLineChars="0"/>
      </w:pPr>
      <w:r>
        <w:t>功率平衡约束</w:t>
      </w:r>
    </w:p>
    <w:p w14:paraId="4EC8467E">
      <w:pPr>
        <w:ind w:firstLine="420" w:firstLineChars="200"/>
      </w:pPr>
      <w:r>
        <w:rPr>
          <w:position w:val="-28"/>
        </w:rPr>
        <w:object>
          <v:shape id="_x0000_i1056" o:spt="75" type="#_x0000_t75" style="height:35.55pt;width:224.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 w14:paraId="74453752">
      <w:pPr>
        <w:pStyle w:val="9"/>
        <w:numPr>
          <w:ilvl w:val="0"/>
          <w:numId w:val="4"/>
        </w:numPr>
        <w:ind w:firstLineChars="0"/>
      </w:pPr>
      <w:r>
        <w:t>水电厂的用水量平衡（看是按天给还是按月给，如果是按天就按天积分，按月就按月积分）</w:t>
      </w:r>
    </w:p>
    <w:p w14:paraId="1E68460B">
      <w:pPr>
        <w:ind w:firstLine="420" w:firstLineChars="200"/>
      </w:pPr>
      <w:r>
        <w:rPr>
          <w:position w:val="-28"/>
        </w:rPr>
        <w:object>
          <v:shape id="_x0000_i1107" o:spt="75" type="#_x0000_t75" style="height:33.65pt;width:171.1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107" DrawAspect="Content" ObjectID="_1468075757" r:id="rId68">
            <o:LockedField>false</o:LockedField>
          </o:OLEObject>
        </w:object>
      </w:r>
      <w:r>
        <w:t xml:space="preserve">   按天或月给定水电厂的用水量</w:t>
      </w:r>
    </w:p>
    <w:p w14:paraId="2153D436">
      <w:pPr>
        <w:pStyle w:val="9"/>
        <w:numPr>
          <w:ilvl w:val="0"/>
          <w:numId w:val="4"/>
        </w:numPr>
        <w:ind w:firstLineChars="0"/>
      </w:pPr>
      <w:r>
        <w:t>储能荷电状态</w:t>
      </w:r>
      <w:r>
        <w:rPr>
          <w:color w:val="FF0000"/>
        </w:rPr>
        <w:t>（长期规划，不计每日初末</w:t>
      </w:r>
      <w:r>
        <w:rPr>
          <w:rFonts w:hint="eastAsia"/>
          <w:color w:val="FF0000"/>
        </w:rPr>
        <w:t>设定</w:t>
      </w:r>
      <w:r>
        <w:rPr>
          <w:color w:val="FF0000"/>
        </w:rPr>
        <w:t>值）</w:t>
      </w:r>
    </w:p>
    <w:p w14:paraId="2800E8A5">
      <w:pPr>
        <w:ind w:firstLine="420" w:firstLineChars="200"/>
      </w:pPr>
      <w:r>
        <w:rPr>
          <w:position w:val="-28"/>
        </w:rPr>
        <w:object>
          <v:shape id="_x0000_i1058" o:spt="75" type="#_x0000_t75" style="height:35.55pt;width:121.5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bookmarkStart w:id="3" w:name="_GoBack"/>
      <w:bookmarkEnd w:id="3"/>
    </w:p>
    <w:p w14:paraId="45E9D14A">
      <w:pPr>
        <w:ind w:firstLine="420" w:firstLineChars="200"/>
      </w:pPr>
      <w:r>
        <w:rPr>
          <w:position w:val="-8"/>
        </w:rPr>
        <w:object>
          <v:shape id="_x0000_i1059" o:spt="75" type="#_x0000_t75" style="height:16.85pt;width:71.0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</w:p>
    <w:p w14:paraId="360EEB6F">
      <w:pPr>
        <w:spacing w:line="360" w:lineRule="auto"/>
        <w:ind w:firstLine="420"/>
      </w:pPr>
      <w:r>
        <w:rPr>
          <w:position w:val="-8"/>
        </w:rPr>
        <w:object>
          <v:shape id="_x0000_i1060" o:spt="75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</w:p>
    <w:p w14:paraId="756ADC36">
      <w:pPr>
        <w:pStyle w:val="9"/>
        <w:numPr>
          <w:ilvl w:val="0"/>
          <w:numId w:val="2"/>
        </w:numPr>
        <w:spacing w:line="360" w:lineRule="auto"/>
        <w:ind w:firstLineChars="0"/>
      </w:pPr>
      <w:r>
        <w:t>不等式约束</w:t>
      </w:r>
    </w:p>
    <w:p w14:paraId="1F8EEA1F">
      <w:pPr>
        <w:pStyle w:val="9"/>
        <w:numPr>
          <w:ilvl w:val="0"/>
          <w:numId w:val="5"/>
        </w:numPr>
        <w:spacing w:before="240" w:line="360" w:lineRule="auto"/>
        <w:ind w:firstLineChars="0"/>
      </w:pPr>
      <w:r>
        <w:t>风电场出力约束和容量约束</w:t>
      </w:r>
    </w:p>
    <w:p w14:paraId="48B86D52">
      <w:pPr>
        <w:ind w:firstLine="420" w:firstLineChars="200"/>
      </w:pPr>
      <w:r>
        <w:rPr>
          <w:position w:val="-8"/>
        </w:rPr>
        <w:object>
          <v:shape id="_x0000_i1061" o:spt="75" type="#_x0000_t75" style="height:16.85pt;width:73.8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</w:p>
    <w:p w14:paraId="6646B642">
      <w:pPr>
        <w:ind w:firstLine="420" w:firstLineChars="200"/>
      </w:pPr>
      <w:r>
        <w:rPr>
          <w:position w:val="-8"/>
        </w:rPr>
        <w:object>
          <v:shape id="_x0000_i1062" o:spt="75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</w:p>
    <w:p w14:paraId="41CAE927">
      <w:pPr>
        <w:pStyle w:val="9"/>
        <w:numPr>
          <w:ilvl w:val="0"/>
          <w:numId w:val="5"/>
        </w:numPr>
        <w:spacing w:line="360" w:lineRule="auto"/>
        <w:ind w:firstLineChars="0"/>
      </w:pPr>
      <w:r>
        <w:t>光伏站出力约束和容量约束</w:t>
      </w:r>
    </w:p>
    <w:p w14:paraId="205F5B94">
      <w:pPr>
        <w:ind w:firstLine="420" w:firstLineChars="200"/>
      </w:pPr>
      <w:r>
        <w:rPr>
          <w:position w:val="-8"/>
        </w:rPr>
        <w:object>
          <v:shape id="_x0000_i1063" o:spt="75" type="#_x0000_t75" style="height:16.85pt;width:7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</w:p>
    <w:p w14:paraId="05491183">
      <w:pPr>
        <w:ind w:firstLine="420" w:firstLineChars="200"/>
      </w:pPr>
      <w:r>
        <w:rPr>
          <w:position w:val="-8"/>
        </w:rPr>
        <w:object>
          <v:shape id="_x0000_i1064" o:spt="75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</w:p>
    <w:p w14:paraId="5F3192C6">
      <w:pPr>
        <w:pStyle w:val="9"/>
        <w:numPr>
          <w:ilvl w:val="0"/>
          <w:numId w:val="5"/>
        </w:numPr>
        <w:spacing w:line="360" w:lineRule="auto"/>
        <w:ind w:firstLineChars="0"/>
      </w:pPr>
      <w:r>
        <w:t>水电厂出力约束</w:t>
      </w:r>
    </w:p>
    <w:p w14:paraId="0BD89B03">
      <w:pPr>
        <w:spacing w:line="360" w:lineRule="auto"/>
        <w:ind w:firstLine="420" w:firstLineChars="200"/>
      </w:pPr>
      <w:r>
        <w:rPr>
          <w:position w:val="-8"/>
        </w:rPr>
        <w:object>
          <v:shape id="_x0000_i1065" o:spt="75" type="#_x0000_t75" style="height:16.85pt;width:60.8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</w:p>
    <w:p w14:paraId="0FBF76D8">
      <w:pPr>
        <w:pStyle w:val="9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火</w:t>
      </w:r>
      <w:r>
        <w:t>电厂出力约束</w:t>
      </w:r>
    </w:p>
    <w:p w14:paraId="3F3EEB26">
      <w:pPr>
        <w:ind w:firstLine="420" w:firstLineChars="200"/>
      </w:pPr>
      <w:r>
        <w:rPr>
          <w:position w:val="-10"/>
        </w:rPr>
        <w:object>
          <v:shape id="_x0000_i1066" o:spt="75" type="#_x0000_t75" style="height:18.7pt;width:110.3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</w:p>
    <w:p w14:paraId="6BCFF0DC">
      <w:pPr>
        <w:ind w:firstLine="420" w:firstLineChars="200"/>
      </w:pPr>
      <w:r>
        <w:t>火电厂启停时间约束：</w:t>
      </w:r>
    </w:p>
    <w:p w14:paraId="235822E2">
      <w:pPr>
        <w:ind w:firstLine="420" w:firstLineChars="200"/>
        <w:rPr>
          <w:rFonts w:ascii="Times New Roman" w:hAnsi="Times New Roman"/>
        </w:rPr>
      </w:pPr>
      <w:r>
        <w:rPr>
          <w:position w:val="-30"/>
        </w:rPr>
        <w:object>
          <v:shape id="_x0000_i1067" o:spt="75" type="#_x0000_t75" style="height:36.45pt;width:64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</w:p>
    <w:p w14:paraId="073EEE6E">
      <w:pPr>
        <w:ind w:firstLine="420" w:firstLineChars="200"/>
      </w:pPr>
      <w:r>
        <w:rPr>
          <w:rFonts w:hint="eastAsia" w:ascii="Times New Roman" w:hAnsi="Times New Roman" w:eastAsia="宋体"/>
        </w:rPr>
        <w:t>式中，</w:t>
      </w:r>
      <w:r>
        <w:rPr>
          <w:position w:val="-8"/>
        </w:rPr>
        <w:object>
          <v:shape id="_x0000_i1068" o:spt="75" type="#_x0000_t75" style="height:15.9pt;width:21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 w:ascii="Times New Roman" w:hAnsi="Times New Roman" w:eastAsia="宋体"/>
        </w:rPr>
        <w:t>为机组</w:t>
      </w:r>
      <w:r>
        <w:rPr>
          <w:rFonts w:ascii="Times New Roman" w:hAnsi="Times New Roman" w:eastAsia="宋体"/>
        </w:rPr>
        <w:t>k到</w:t>
      </w:r>
      <w:r>
        <w:rPr>
          <w:rFonts w:hint="eastAsia" w:ascii="Times New Roman" w:hAnsi="Times New Roman" w:eastAsia="宋体"/>
        </w:rPr>
        <w:t>t</w:t>
      </w:r>
      <w:r>
        <w:rPr>
          <w:rFonts w:ascii="Times New Roman" w:hAnsi="Times New Roman" w:eastAsia="宋体"/>
        </w:rPr>
        <w:t xml:space="preserve">时段已连续运行的时间段， </w:t>
      </w:r>
      <w:r>
        <w:rPr>
          <w:position w:val="-8"/>
        </w:rPr>
        <w:object>
          <v:shape id="_x0000_i1069" o:spt="75" type="#_x0000_t75" style="height:15.9pt;width:16.8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eastAsia="宋体"/>
        </w:rPr>
        <w:t>为机组k的最小运行时间。</w:t>
      </w:r>
    </w:p>
    <w:p w14:paraId="144D9987">
      <w:pPr>
        <w:pStyle w:val="9"/>
        <w:numPr>
          <w:ilvl w:val="0"/>
          <w:numId w:val="5"/>
        </w:numPr>
        <w:spacing w:line="360" w:lineRule="auto"/>
        <w:ind w:firstLineChars="0"/>
      </w:pPr>
      <w:r>
        <w:t>储能站约束</w:t>
      </w:r>
    </w:p>
    <w:p w14:paraId="00077FED">
      <w:pPr>
        <w:ind w:firstLine="420" w:firstLineChars="200"/>
      </w:pPr>
      <w:r>
        <w:t>容量约束：</w:t>
      </w:r>
      <w:r>
        <w:rPr>
          <w:position w:val="-10"/>
        </w:rPr>
        <w:object>
          <v:shape id="_x0000_i1070" o:spt="75" type="#_x0000_t75" style="height:19.65pt;width:142.1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 w14:paraId="3AC35D32">
      <w:pPr>
        <w:ind w:firstLine="420" w:firstLineChars="200"/>
      </w:pPr>
      <w:r>
        <w:t>充放电状态约束：</w:t>
      </w:r>
      <w:r>
        <w:rPr>
          <w:position w:val="-8"/>
        </w:rPr>
        <w:object>
          <v:shape id="_x0000_i1071" o:spt="75" type="#_x0000_t75" style="height:16.85pt;width:63.6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</w:p>
    <w:p w14:paraId="73DB268C">
      <w:pPr>
        <w:ind w:firstLine="420" w:firstLineChars="200"/>
      </w:pPr>
      <w:r>
        <w:t>充放电功率约束：</w:t>
      </w:r>
      <w:r>
        <w:rPr>
          <w:position w:val="-8"/>
        </w:rPr>
        <w:object>
          <v:shape id="_x0000_i1072" o:spt="75" type="#_x0000_t75" style="height:16.85pt;width:86.0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 xml:space="preserve">      </w:t>
      </w:r>
      <w:r>
        <w:rPr>
          <w:position w:val="-8"/>
        </w:rPr>
        <w:object>
          <v:shape id="_x0000_i1073" o:spt="75" type="#_x0000_t75" style="height:16.85pt;width:88.8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</w:p>
    <w:p w14:paraId="3962B91A">
      <w:pPr>
        <w:pStyle w:val="9"/>
        <w:numPr>
          <w:ilvl w:val="0"/>
          <w:numId w:val="5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新能源弃电率约束</w:t>
      </w:r>
    </w:p>
    <w:p w14:paraId="1B63F82F">
      <w:pPr>
        <w:ind w:firstLine="420" w:firstLineChars="200"/>
      </w:pPr>
      <w:r>
        <w:rPr>
          <w:position w:val="-62"/>
        </w:rPr>
        <w:object>
          <v:shape id="_x0000_i1074" o:spt="75" type="#_x0000_t75" style="height:67.3pt;width:230.0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（</w:t>
      </w:r>
      <w:r>
        <w:rPr>
          <w:rFonts w:hint="eastAsia"/>
        </w:rPr>
        <w:t>按日和月，T是日和月</w:t>
      </w:r>
      <w:r>
        <w:t>）有两个</w:t>
      </w:r>
    </w:p>
    <w:p w14:paraId="6534DF77">
      <w:pPr>
        <w:pStyle w:val="9"/>
        <w:numPr>
          <w:ilvl w:val="0"/>
          <w:numId w:val="5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新能源电量占比</w:t>
      </w:r>
    </w:p>
    <w:p w14:paraId="386DC181">
      <w:pPr>
        <w:spacing w:line="360" w:lineRule="auto"/>
        <w:ind w:firstLine="420" w:firstLineChars="200"/>
      </w:pPr>
      <w:r>
        <w:rPr>
          <w:position w:val="-60"/>
        </w:rPr>
        <w:object>
          <v:shape id="_x0000_i1075" o:spt="75" type="#_x0000_t75" style="height:67.3pt;width:136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t>（</w:t>
      </w:r>
      <w:r>
        <w:rPr>
          <w:rFonts w:hint="eastAsia"/>
        </w:rPr>
        <w:t>按日和月，T是日和月</w:t>
      </w:r>
      <w:r>
        <w:t>）有两个</w:t>
      </w:r>
    </w:p>
    <w:p w14:paraId="65A55391">
      <w:pPr>
        <w:pStyle w:val="9"/>
        <w:numPr>
          <w:ilvl w:val="0"/>
          <w:numId w:val="5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能源基地保供率（按单时段功率值约束，可以稍微放宽一点）</w:t>
      </w:r>
    </w:p>
    <w:p w14:paraId="1283DC7D">
      <w:pPr>
        <w:spacing w:line="360" w:lineRule="auto"/>
        <w:ind w:firstLine="420" w:firstLineChars="200"/>
      </w:pPr>
      <w:r>
        <w:rPr>
          <w:position w:val="-60"/>
        </w:rPr>
        <w:object>
          <v:shape id="_x0000_i1076" o:spt="75" type="#_x0000_t75" style="height:66.4pt;width:107.5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t xml:space="preserve"> （</w:t>
      </w:r>
      <w:r>
        <w:rPr>
          <w:rFonts w:hint="eastAsia"/>
        </w:rPr>
        <w:t>按日和月，T是日和月</w:t>
      </w:r>
      <w:r>
        <w:t>）有两个</w:t>
      </w:r>
    </w:p>
    <w:p w14:paraId="67AE4FB8">
      <w:pPr>
        <w:spacing w:line="360" w:lineRule="auto"/>
        <w:ind w:firstLine="420" w:firstLineChars="200"/>
      </w:pPr>
      <w:r>
        <w:rPr>
          <w:position w:val="-12"/>
        </w:rPr>
        <w:object>
          <v:shape id="_x0000_i1077" o:spt="75" type="#_x0000_t75" style="height:18.7pt;width:118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</w:p>
    <w:p w14:paraId="25353B68">
      <w:pPr>
        <w:pStyle w:val="9"/>
        <w:numPr>
          <w:ilvl w:val="0"/>
          <w:numId w:val="5"/>
        </w:numPr>
        <w:spacing w:line="360" w:lineRule="auto"/>
        <w:ind w:firstLineChars="0"/>
      </w:pPr>
      <w:r>
        <w:t>总用水约束（看是按天给还是按月给，如果是按天就按天积分，按月就按月积分）</w:t>
      </w:r>
    </w:p>
    <w:p w14:paraId="0634DE66">
      <w:pPr>
        <w:spacing w:line="360" w:lineRule="auto"/>
        <w:ind w:firstLine="420" w:firstLineChars="200"/>
      </w:pPr>
      <w:r>
        <w:rPr>
          <w:position w:val="-8"/>
        </w:rPr>
        <w:object>
          <v:shape id="_x0000_i1078" o:spt="75" type="#_x0000_t75" style="height:18.7pt;width:49.5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t xml:space="preserve">     按天或月给定水电厂的用水量</w:t>
      </w:r>
    </w:p>
    <w:p w14:paraId="3544ABD3">
      <w:pPr>
        <w:spacing w:line="360" w:lineRule="auto"/>
        <w:ind w:firstLine="420"/>
      </w:pPr>
    </w:p>
    <w:p w14:paraId="26807D0B">
      <w:pPr>
        <w:spacing w:line="360" w:lineRule="auto"/>
      </w:pPr>
    </w:p>
    <w:p w14:paraId="2A49DC19">
      <w:pPr>
        <w:spacing w:line="360" w:lineRule="auto"/>
      </w:pPr>
      <w:r>
        <w:t>（</w:t>
      </w:r>
      <w:r>
        <w:rPr>
          <w:rFonts w:hint="eastAsia"/>
        </w:rPr>
        <w:t>二</w:t>
      </w:r>
      <w:r>
        <w:t>）</w:t>
      </w:r>
      <w:r>
        <w:rPr>
          <w:rFonts w:hint="eastAsia"/>
        </w:rPr>
        <w:t>．上</w:t>
      </w:r>
      <w:r>
        <w:t>层模型</w:t>
      </w:r>
    </w:p>
    <w:p w14:paraId="6E8D8166">
      <w:pPr>
        <w:spacing w:line="360" w:lineRule="auto"/>
      </w:pPr>
      <w:r>
        <w:rPr>
          <w:rFonts w:hint="eastAsia"/>
        </w:rPr>
        <w:t>按月计算出力，计算1</w:t>
      </w:r>
      <w:r>
        <w:t>2次</w:t>
      </w:r>
    </w:p>
    <w:p w14:paraId="45AA097C">
      <w:pPr>
        <w:pStyle w:val="9"/>
        <w:numPr>
          <w:ilvl w:val="0"/>
          <w:numId w:val="6"/>
        </w:numPr>
        <w:ind w:firstLineChars="0"/>
      </w:pPr>
      <w:r>
        <w:t>定风光水火储每</w:t>
      </w:r>
      <w:r>
        <w:rPr>
          <w:rFonts w:hint="eastAsia"/>
        </w:rPr>
        <w:t>月</w:t>
      </w:r>
      <w:r>
        <w:t>的</w:t>
      </w:r>
      <w:r>
        <w:rPr>
          <w:rFonts w:hint="eastAsia"/>
        </w:rPr>
        <w:t>电量</w:t>
      </w:r>
      <w:r>
        <w:t>（</w:t>
      </w:r>
      <w:r>
        <w:rPr>
          <w:position w:val="-8"/>
        </w:rPr>
        <w:object>
          <v:shape id="_x0000_i1079" o:spt="75" type="#_x0000_t75" style="height:16.85pt;width:19.6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0" o:spt="75" type="#_x0000_t75" style="height:16.85pt;width:19.6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1" o:spt="75" type="#_x0000_t75" style="height:16.85pt;width:19.6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2" o:spt="75" type="#_x0000_t75" style="height:16.85pt;width:19.6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3" o:spt="75" type="#_x0000_t75" style="height:16.85pt;width:19.6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t>）</w:t>
      </w:r>
    </w:p>
    <w:p w14:paraId="273AB563">
      <w:pPr>
        <w:pStyle w:val="9"/>
        <w:numPr>
          <w:ilvl w:val="0"/>
          <w:numId w:val="6"/>
        </w:numPr>
        <w:ind w:firstLineChars="0"/>
      </w:pPr>
      <w:r>
        <w:t>风电和光伏的额定容量（</w:t>
      </w:r>
      <w:r>
        <w:rPr>
          <w:position w:val="-8"/>
        </w:rPr>
        <w:object>
          <v:shape id="_x0000_i1084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5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6" o:spt="75" type="#_x0000_t75" style="height:16.85pt;width:15.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>，</w:t>
      </w:r>
      <w:r>
        <w:rPr>
          <w:position w:val="-8"/>
        </w:rPr>
        <w:object>
          <v:shape id="_x0000_i1087" o:spt="75" type="#_x0000_t75" style="height:16.85pt;width:16.8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）</w:t>
      </w:r>
    </w:p>
    <w:p w14:paraId="124D5A8E">
      <w:pPr>
        <w:pStyle w:val="9"/>
        <w:numPr>
          <w:ilvl w:val="0"/>
          <w:numId w:val="6"/>
        </w:numPr>
        <w:ind w:firstLineChars="0"/>
        <w:rPr>
          <w:color w:val="FF0000"/>
        </w:rPr>
      </w:pPr>
      <w:r>
        <w:rPr>
          <w:color w:val="FF0000"/>
        </w:rPr>
        <w:t>每个厂每个月的电量（</w:t>
      </w:r>
      <w:r>
        <w:rPr>
          <w:position w:val="-10"/>
        </w:rPr>
        <w:object>
          <v:shape id="_x0000_i1088" o:spt="75" type="#_x0000_t75" style="height:18.7pt;width:113.1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color w:val="FF0000"/>
        </w:rPr>
        <w:t>）做为</w:t>
      </w:r>
      <w:r>
        <w:rPr>
          <w:rFonts w:hint="eastAsia"/>
          <w:color w:val="FF0000"/>
        </w:rPr>
        <w:t>下</w:t>
      </w:r>
      <w:r>
        <w:rPr>
          <w:color w:val="FF0000"/>
        </w:rPr>
        <w:t>层模型的变量约束</w:t>
      </w:r>
    </w:p>
    <w:p w14:paraId="3C97A6EB">
      <w:pPr>
        <w:pStyle w:val="9"/>
        <w:numPr>
          <w:ilvl w:val="0"/>
          <w:numId w:val="6"/>
        </w:numPr>
        <w:ind w:firstLineChars="0"/>
        <w:rPr>
          <w:color w:val="FF0000"/>
        </w:rPr>
      </w:pPr>
      <w:r>
        <w:rPr>
          <w:color w:val="FF0000"/>
        </w:rPr>
        <w:t>是否水的电量应该是个定值？</w:t>
      </w:r>
    </w:p>
    <w:p w14:paraId="20EB5B17">
      <w:pPr>
        <w:spacing w:line="360" w:lineRule="auto"/>
      </w:pPr>
    </w:p>
    <w:p w14:paraId="00125368">
      <w:pPr>
        <w:pStyle w:val="9"/>
        <w:numPr>
          <w:ilvl w:val="0"/>
          <w:numId w:val="7"/>
        </w:numPr>
        <w:spacing w:line="360" w:lineRule="auto"/>
        <w:ind w:firstLineChars="0"/>
      </w:pPr>
      <w:r>
        <w:t>目标函数</w:t>
      </w:r>
    </w:p>
    <w:p w14:paraId="5A166C49">
      <w:pPr>
        <w:pStyle w:val="9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综合投资成本最低：风电、光伏和储能站的投资成本</w:t>
      </w:r>
    </w:p>
    <w:p w14:paraId="29450C81">
      <w:pPr>
        <w:spacing w:line="360" w:lineRule="auto"/>
        <w:ind w:firstLine="420"/>
      </w:pPr>
      <w:r>
        <w:rPr>
          <w:position w:val="-62"/>
          <w:highlight w:val="cyan"/>
        </w:rPr>
        <w:object>
          <v:shape id="_x0000_i1089" o:spt="75" type="#_x0000_t75" style="height:67.3pt;width:124.3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</w:p>
    <w:p w14:paraId="58FD8C20">
      <w:pPr>
        <w:pStyle w:val="9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综合度电成本最低：水电、火电、风电和光伏的上网电价，储能站的电度成本</w:t>
      </w:r>
    </w:p>
    <w:p w14:paraId="67598C32">
      <w:pPr>
        <w:spacing w:line="360" w:lineRule="auto"/>
        <w:ind w:firstLine="420" w:firstLineChars="200"/>
      </w:pPr>
      <w:r>
        <w:rPr>
          <w:position w:val="-66"/>
          <w:highlight w:val="cyan"/>
        </w:rPr>
        <w:object>
          <v:shape id="_x0000_i1090" o:spt="75" type="#_x0000_t75" style="height:72pt;width:266.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</w:p>
    <w:p w14:paraId="13D33421">
      <w:pPr>
        <w:pStyle w:val="9"/>
        <w:numPr>
          <w:ilvl w:val="0"/>
          <w:numId w:val="8"/>
        </w:numPr>
        <w:spacing w:line="360" w:lineRule="auto"/>
        <w:ind w:firstLineChars="0"/>
      </w:pPr>
      <w:bookmarkStart w:id="1" w:name="OLE_LINK2"/>
      <w:bookmarkStart w:id="2" w:name="OLE_LINK1"/>
      <w:r>
        <w:rPr>
          <w:rFonts w:hint="eastAsia"/>
        </w:rPr>
        <w:t>新能源弃电率</w:t>
      </w:r>
      <w:bookmarkEnd w:id="1"/>
      <w:bookmarkEnd w:id="2"/>
      <w:r>
        <w:rPr>
          <w:rFonts w:hint="eastAsia"/>
        </w:rPr>
        <w:t>最小</w:t>
      </w:r>
    </w:p>
    <w:p w14:paraId="5890F3A9">
      <w:pPr>
        <w:pStyle w:val="9"/>
        <w:spacing w:line="360" w:lineRule="auto"/>
        <w:ind w:left="420" w:firstLine="0" w:firstLineChars="0"/>
      </w:pPr>
      <w:r>
        <w:rPr>
          <w:position w:val="-32"/>
          <w:highlight w:val="cyan"/>
        </w:rPr>
        <w:object>
          <v:shape id="_x0000_i1091" o:spt="75" type="#_x0000_t75" style="height:55.15pt;width:302.0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</w:p>
    <w:p w14:paraId="4BE084DE">
      <w:pPr>
        <w:pStyle w:val="9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新能源电量占比最大</w:t>
      </w:r>
    </w:p>
    <w:p w14:paraId="16C1A478">
      <w:pPr>
        <w:pStyle w:val="9"/>
        <w:spacing w:line="360" w:lineRule="auto"/>
        <w:ind w:left="420" w:firstLine="0" w:firstLineChars="0"/>
      </w:pPr>
      <w:r>
        <w:rPr>
          <w:position w:val="-32"/>
          <w:highlight w:val="cyan"/>
        </w:rPr>
        <w:object>
          <v:shape id="_x0000_i1092" o:spt="75" type="#_x0000_t75" style="height:55.15pt;width:141.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 w14:paraId="6654FB78">
      <w:pPr>
        <w:pStyle w:val="9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碳排放最低（</w:t>
      </w:r>
      <w:r>
        <w:t>各类电厂都要考虑</w:t>
      </w:r>
      <w:r>
        <w:rPr>
          <w:rFonts w:hint="eastAsia"/>
        </w:rPr>
        <w:t>）</w:t>
      </w:r>
    </w:p>
    <w:p w14:paraId="78D470F2">
      <w:pPr>
        <w:pStyle w:val="9"/>
        <w:spacing w:line="360" w:lineRule="auto"/>
        <w:ind w:left="420" w:firstLine="0" w:firstLineChars="0"/>
      </w:pPr>
      <w:r>
        <w:rPr>
          <w:position w:val="-28"/>
          <w:highlight w:val="cyan"/>
        </w:rPr>
        <w:object>
          <v:shape id="_x0000_i1093" o:spt="75" type="#_x0000_t75" style="height:50.5pt;width:162.7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hint="eastAsia"/>
          <w:highlight w:val="cyan"/>
        </w:rPr>
        <w:t>（火电煤耗特性线性化后一次项系数的平均值）</w:t>
      </w:r>
    </w:p>
    <w:p w14:paraId="08FDE4FC">
      <w:pPr>
        <w:pStyle w:val="9"/>
        <w:spacing w:line="360" w:lineRule="auto"/>
        <w:ind w:left="420" w:firstLine="0" w:firstLineChars="0"/>
      </w:pPr>
      <w:r>
        <w:rPr>
          <w:position w:val="-28"/>
          <w:highlight w:val="cyan"/>
        </w:rPr>
        <w:object>
          <v:shape id="_x0000_i1094" o:spt="75" type="#_x0000_t75" style="height:50.5pt;width:59.8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hint="eastAsia"/>
          <w:highlight w:val="cyan"/>
        </w:rPr>
        <w:t>（碳排放系数的平均值）</w:t>
      </w:r>
    </w:p>
    <w:p w14:paraId="65A61498">
      <w:pPr>
        <w:pStyle w:val="9"/>
        <w:spacing w:line="360" w:lineRule="auto"/>
        <w:ind w:left="420" w:firstLine="0" w:firstLineChars="0"/>
      </w:pPr>
      <w:r>
        <w:rPr>
          <w:position w:val="-30"/>
          <w:highlight w:val="cyan"/>
        </w:rPr>
        <w:object>
          <v:shape id="_x0000_i1095" o:spt="75" type="#_x0000_t75" style="height:52.35pt;width:228.1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</w:p>
    <w:p w14:paraId="19BBB3A9">
      <w:pPr>
        <w:pStyle w:val="9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综合售电售电最高</w:t>
      </w:r>
    </w:p>
    <w:p w14:paraId="5D2800BD">
      <w:pPr>
        <w:pStyle w:val="9"/>
        <w:spacing w:line="360" w:lineRule="auto"/>
        <w:ind w:left="420" w:firstLine="0" w:firstLineChars="0"/>
        <w:rPr>
          <w:rFonts w:hint="eastAsia"/>
        </w:rPr>
      </w:pPr>
      <w:r>
        <w:rPr>
          <w:position w:val="-24"/>
          <w:highlight w:val="cyan"/>
        </w:rPr>
        <w:object>
          <v:shape id="_x0000_i1096" o:spt="75" type="#_x0000_t75" style="height:45.8pt;width:58.9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</w:p>
    <w:p w14:paraId="2F7106A1">
      <w:pPr>
        <w:pStyle w:val="9"/>
        <w:numPr>
          <w:ilvl w:val="0"/>
          <w:numId w:val="7"/>
        </w:numPr>
        <w:spacing w:after="240" w:line="360" w:lineRule="auto"/>
        <w:ind w:firstLineChars="0"/>
      </w:pPr>
      <w:r>
        <w:t>等式约束</w:t>
      </w:r>
    </w:p>
    <w:p w14:paraId="1E18082F">
      <w:pPr>
        <w:pStyle w:val="9"/>
        <w:numPr>
          <w:ilvl w:val="0"/>
          <w:numId w:val="9"/>
        </w:numPr>
        <w:ind w:firstLineChars="0"/>
      </w:pPr>
      <w:r>
        <w:t>功率平衡约束</w:t>
      </w:r>
    </w:p>
    <w:p w14:paraId="1AFEC7AC">
      <w:pPr>
        <w:spacing w:line="360" w:lineRule="auto"/>
        <w:ind w:firstLine="420" w:firstLineChars="200"/>
      </w:pPr>
      <w:r>
        <w:rPr>
          <w:position w:val="-28"/>
        </w:rPr>
        <w:object>
          <v:shape id="_x0000_i1097" o:spt="75" type="#_x0000_t75" style="height:35.55pt;width:227.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</w:p>
    <w:p w14:paraId="3B3EC7BC">
      <w:pPr>
        <w:pStyle w:val="9"/>
        <w:numPr>
          <w:ilvl w:val="0"/>
          <w:numId w:val="7"/>
        </w:numPr>
        <w:spacing w:line="360" w:lineRule="auto"/>
        <w:ind w:firstLineChars="0"/>
      </w:pPr>
      <w:r>
        <w:t>不等式约束</w:t>
      </w:r>
    </w:p>
    <w:p w14:paraId="72813E40">
      <w:pPr>
        <w:pStyle w:val="9"/>
        <w:numPr>
          <w:ilvl w:val="0"/>
          <w:numId w:val="10"/>
        </w:numPr>
        <w:spacing w:line="360" w:lineRule="auto"/>
        <w:ind w:firstLineChars="0"/>
      </w:pPr>
      <w:r>
        <w:t>风电场</w:t>
      </w:r>
      <w:r>
        <w:rPr>
          <w:rFonts w:hint="eastAsia"/>
        </w:rPr>
        <w:t>电量</w:t>
      </w:r>
      <w:r>
        <w:t>约束和容量约束（是否在下层模型的基础上偏差一点点）</w:t>
      </w:r>
    </w:p>
    <w:p w14:paraId="633E1DFA">
      <w:pPr>
        <w:spacing w:line="360" w:lineRule="auto"/>
        <w:ind w:firstLine="420" w:firstLineChars="200"/>
      </w:pPr>
      <w:r>
        <w:rPr>
          <w:position w:val="-30"/>
        </w:rPr>
        <w:object>
          <v:shape id="_x0000_i1098" o:spt="75" type="#_x0000_t75" style="height:35.55pt;width:129.0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t xml:space="preserve">     t=1,2,……,12</w:t>
      </w:r>
    </w:p>
    <w:p w14:paraId="6110DC0E">
      <w:pPr>
        <w:spacing w:line="360" w:lineRule="auto"/>
        <w:ind w:firstLine="420" w:firstLineChars="200"/>
      </w:pPr>
      <w:r>
        <w:rPr>
          <w:position w:val="-8"/>
        </w:rPr>
        <w:object>
          <v:shape id="_x0000_i1099" o:spt="75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</w:p>
    <w:p w14:paraId="5ED6F5ED">
      <w:pPr>
        <w:pStyle w:val="9"/>
        <w:numPr>
          <w:ilvl w:val="0"/>
          <w:numId w:val="10"/>
        </w:numPr>
        <w:spacing w:line="360" w:lineRule="auto"/>
        <w:ind w:firstLineChars="0"/>
      </w:pPr>
      <w:r>
        <w:t>光伏站</w:t>
      </w:r>
      <w:r>
        <w:rPr>
          <w:rFonts w:hint="eastAsia"/>
        </w:rPr>
        <w:t>电量</w:t>
      </w:r>
      <w:r>
        <w:t>约束和容量约束</w:t>
      </w:r>
    </w:p>
    <w:p w14:paraId="77A57410">
      <w:pPr>
        <w:spacing w:line="360" w:lineRule="auto"/>
        <w:ind w:firstLine="420" w:firstLineChars="200"/>
      </w:pPr>
      <w:r>
        <w:rPr>
          <w:position w:val="-30"/>
        </w:rPr>
        <w:object>
          <v:shape id="_x0000_i1100" o:spt="75" type="#_x0000_t75" style="height:35.55pt;width:126.2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t xml:space="preserve">     t=1,2,……,12</w:t>
      </w:r>
    </w:p>
    <w:p w14:paraId="21628A64">
      <w:pPr>
        <w:spacing w:line="360" w:lineRule="auto"/>
        <w:ind w:firstLine="424" w:firstLineChars="202"/>
      </w:pPr>
      <w:r>
        <w:rPr>
          <w:position w:val="-8"/>
        </w:rPr>
        <w:object>
          <v:shape id="_x0000_i1101" o:spt="75" type="#_x0000_t75" style="height:16.85pt;width:67.3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</w:p>
    <w:p w14:paraId="5C63EC7A">
      <w:pPr>
        <w:pStyle w:val="9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火</w:t>
      </w:r>
      <w:r>
        <w:t>电厂电量约束</w:t>
      </w:r>
    </w:p>
    <w:p w14:paraId="0073EF79">
      <w:pPr>
        <w:spacing w:line="360" w:lineRule="auto"/>
        <w:ind w:firstLine="424" w:firstLineChars="202"/>
      </w:pPr>
      <w:r>
        <w:rPr>
          <w:position w:val="-8"/>
        </w:rPr>
        <w:object>
          <v:shape id="_x0000_i1102" o:spt="75" type="#_x0000_t75" style="height:16.85pt;width:124.3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</w:p>
    <w:p w14:paraId="7AB69EB0">
      <w:pPr>
        <w:pStyle w:val="9"/>
        <w:numPr>
          <w:ilvl w:val="0"/>
          <w:numId w:val="10"/>
        </w:numPr>
        <w:spacing w:line="360" w:lineRule="auto"/>
        <w:ind w:firstLineChars="0"/>
      </w:pPr>
      <w:r>
        <w:rPr>
          <w:rFonts w:hint="eastAsia"/>
        </w:rPr>
        <w:t>储能站</w:t>
      </w:r>
      <w:r>
        <w:t>电量约束</w:t>
      </w:r>
    </w:p>
    <w:p w14:paraId="4AF2CCCF">
      <w:pPr>
        <w:spacing w:line="360" w:lineRule="auto"/>
        <w:ind w:firstLine="424" w:firstLineChars="202"/>
      </w:pPr>
      <w:r>
        <w:rPr>
          <w:position w:val="-8"/>
        </w:rPr>
        <w:object>
          <v:shape id="_x0000_i1103" o:spt="75" type="#_x0000_t75" style="height:16.85pt;width:121.5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</w:p>
    <w:p w14:paraId="5FA804C7">
      <w:pPr>
        <w:pStyle w:val="9"/>
        <w:numPr>
          <w:ilvl w:val="0"/>
          <w:numId w:val="10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新能源弃电率约束</w:t>
      </w:r>
    </w:p>
    <w:p w14:paraId="4BCC2F7E">
      <w:pPr>
        <w:spacing w:line="360" w:lineRule="auto"/>
        <w:ind w:firstLine="424" w:firstLineChars="202"/>
      </w:pPr>
      <w:r>
        <w:rPr>
          <w:position w:val="-62"/>
        </w:rPr>
        <w:object>
          <v:shape id="_x0000_i1104" o:spt="75" type="#_x0000_t75" style="height:70.15pt;width:317.9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t>（T是年）有</w:t>
      </w:r>
      <w:r>
        <w:rPr>
          <w:rFonts w:hint="eastAsia"/>
        </w:rPr>
        <w:t>1</w:t>
      </w:r>
      <w:r>
        <w:t>个</w:t>
      </w:r>
    </w:p>
    <w:p w14:paraId="7346CF82">
      <w:pPr>
        <w:pStyle w:val="9"/>
        <w:numPr>
          <w:ilvl w:val="0"/>
          <w:numId w:val="10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新能源电量占比</w:t>
      </w:r>
    </w:p>
    <w:p w14:paraId="7E93AD27">
      <w:pPr>
        <w:spacing w:line="360" w:lineRule="auto"/>
        <w:ind w:firstLine="424" w:firstLineChars="202"/>
      </w:pPr>
      <w:r>
        <w:rPr>
          <w:position w:val="-60"/>
        </w:rPr>
        <w:object>
          <v:shape id="_x0000_i1105" o:spt="75" type="#_x0000_t75" style="height:67.3pt;width:142.1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t>（T是年）有</w:t>
      </w:r>
      <w:r>
        <w:rPr>
          <w:rFonts w:hint="eastAsia"/>
        </w:rPr>
        <w:t>1</w:t>
      </w:r>
      <w:r>
        <w:t>个</w:t>
      </w:r>
    </w:p>
    <w:p w14:paraId="0266A5FC">
      <w:pPr>
        <w:pStyle w:val="9"/>
        <w:numPr>
          <w:ilvl w:val="0"/>
          <w:numId w:val="10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能源基地保供率</w:t>
      </w:r>
    </w:p>
    <w:p w14:paraId="36FA6EEB">
      <w:pPr>
        <w:spacing w:line="360" w:lineRule="auto"/>
        <w:ind w:firstLine="424" w:firstLineChars="202"/>
      </w:pPr>
      <w:r>
        <w:rPr>
          <w:position w:val="-60"/>
        </w:rPr>
        <w:object>
          <v:shape id="_x0000_i1106" o:spt="75" type="#_x0000_t75" style="height:66.4pt;width:108.4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t xml:space="preserve">  （T是年）有</w:t>
      </w:r>
      <w:r>
        <w:rPr>
          <w:rFonts w:hint="eastAsia"/>
        </w:rPr>
        <w:t>1</w:t>
      </w:r>
      <w:r>
        <w:t>个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07FBC"/>
    <w:multiLevelType w:val="multilevel"/>
    <w:tmpl w:val="0F607FB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1C3B2C"/>
    <w:multiLevelType w:val="multilevel"/>
    <w:tmpl w:val="101C3B2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3452EB"/>
    <w:multiLevelType w:val="multilevel"/>
    <w:tmpl w:val="103452E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630C56"/>
    <w:multiLevelType w:val="multilevel"/>
    <w:tmpl w:val="42630C5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41B7E75"/>
    <w:multiLevelType w:val="multilevel"/>
    <w:tmpl w:val="441B7E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0EF1782"/>
    <w:multiLevelType w:val="multilevel"/>
    <w:tmpl w:val="50EF178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B77CE3"/>
    <w:multiLevelType w:val="multilevel"/>
    <w:tmpl w:val="59B77CE3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EFF1510"/>
    <w:multiLevelType w:val="multilevel"/>
    <w:tmpl w:val="5EFF1510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55545C5"/>
    <w:multiLevelType w:val="multilevel"/>
    <w:tmpl w:val="655545C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7AC72E1"/>
    <w:multiLevelType w:val="multilevel"/>
    <w:tmpl w:val="67AC72E1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9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A8"/>
    <w:rsid w:val="00003198"/>
    <w:rsid w:val="000465E6"/>
    <w:rsid w:val="00054019"/>
    <w:rsid w:val="000A5274"/>
    <w:rsid w:val="00106C3E"/>
    <w:rsid w:val="001D6EBC"/>
    <w:rsid w:val="00246510"/>
    <w:rsid w:val="00280E29"/>
    <w:rsid w:val="00290CE2"/>
    <w:rsid w:val="002A03B8"/>
    <w:rsid w:val="002B1B38"/>
    <w:rsid w:val="00330E5E"/>
    <w:rsid w:val="00332513"/>
    <w:rsid w:val="00336A88"/>
    <w:rsid w:val="003515B0"/>
    <w:rsid w:val="00361310"/>
    <w:rsid w:val="003618A5"/>
    <w:rsid w:val="00362AA6"/>
    <w:rsid w:val="003B7DFA"/>
    <w:rsid w:val="00511EA7"/>
    <w:rsid w:val="00525FAF"/>
    <w:rsid w:val="00531D58"/>
    <w:rsid w:val="00557983"/>
    <w:rsid w:val="00560BA8"/>
    <w:rsid w:val="00657E22"/>
    <w:rsid w:val="00667F47"/>
    <w:rsid w:val="00700A47"/>
    <w:rsid w:val="00716AEF"/>
    <w:rsid w:val="00781A62"/>
    <w:rsid w:val="008A2C25"/>
    <w:rsid w:val="008B7573"/>
    <w:rsid w:val="008C0D8B"/>
    <w:rsid w:val="00932772"/>
    <w:rsid w:val="009507C1"/>
    <w:rsid w:val="009A20F4"/>
    <w:rsid w:val="009B2E35"/>
    <w:rsid w:val="00A2610B"/>
    <w:rsid w:val="00A735C9"/>
    <w:rsid w:val="00A95C8A"/>
    <w:rsid w:val="00A966E1"/>
    <w:rsid w:val="00B22428"/>
    <w:rsid w:val="00B32707"/>
    <w:rsid w:val="00BF479B"/>
    <w:rsid w:val="00C4109E"/>
    <w:rsid w:val="00C95FA1"/>
    <w:rsid w:val="00CC0F69"/>
    <w:rsid w:val="00CF550C"/>
    <w:rsid w:val="00D90F89"/>
    <w:rsid w:val="00DA560D"/>
    <w:rsid w:val="00DF6720"/>
    <w:rsid w:val="00E21B01"/>
    <w:rsid w:val="00E62BF0"/>
    <w:rsid w:val="00EA55DB"/>
    <w:rsid w:val="00ED7187"/>
    <w:rsid w:val="00F03063"/>
    <w:rsid w:val="00F04BE3"/>
    <w:rsid w:val="00F810EF"/>
    <w:rsid w:val="00F86BBF"/>
    <w:rsid w:val="0F1F0342"/>
    <w:rsid w:val="5E92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next w:val="1"/>
    <w:link w:val="10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宋体" w:cstheme="majorBidi"/>
      <w:color w:val="2E75B6" w:themeColor="accent1" w:themeShade="BF"/>
      <w:sz w:val="24"/>
      <w:szCs w:val="24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5 字符"/>
    <w:basedOn w:val="6"/>
    <w:link w:val="2"/>
    <w:semiHidden/>
    <w:uiPriority w:val="9"/>
    <w:rPr>
      <w:rFonts w:ascii="Times New Roman" w:hAnsi="Times New Roman" w:eastAsia="宋体" w:cstheme="majorBidi"/>
      <w:color w:val="2E75B6" w:themeColor="accent1" w:themeShade="BF"/>
      <w:sz w:val="24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9" Type="http://schemas.openxmlformats.org/officeDocument/2006/relationships/fontTable" Target="fontTable.xml"/><Relationship Id="rId168" Type="http://schemas.openxmlformats.org/officeDocument/2006/relationships/numbering" Target="numbering.xml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1154</Words>
  <Characters>1188</Characters>
  <Lines>24</Lines>
  <Paragraphs>6</Paragraphs>
  <TotalTime>230</TotalTime>
  <ScaleCrop>false</ScaleCrop>
  <LinksUpToDate>false</LinksUpToDate>
  <CharactersWithSpaces>1216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2025-06-17T03:37:00Z</dcterms:created>
  <dc:creator>Windows 用户</dc:creator>
  <cp:lastModifiedBy>WPS_1644836037</cp:lastModifiedBy>
  <dcterms:modified xsi:type="dcterms:W3CDTF">2026-07-06T16:37:55Z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eyJoZGlkIjoiMDViZWExZTVjY2UyZDhlNmVmOWI1ZmIzMGNiNjVlODYiLCJ1c2VySWQiOiIxMzMwMzcyNjQ4In0=</vt:lpwstr>
  </property>
  <property fmtid="{D5CDD505-2E9C-101B-9397-08002B2CF9AE}" pid="4" name="KSOProductBuildVer">
    <vt:lpwstr>2052-12.1.0.26375</vt:lpwstr>
  </property>
  <property fmtid="{D5CDD505-2E9C-101B-9397-08002B2CF9AE}" pid="5" name="ICV">
    <vt:lpwstr>B6126D81F014462DB09EBB20F159AF80_12</vt:lpwstr>
  </property>
</Properties>
</file>