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MastheadKicker"/>
      </w:pPr>
      <w:r>
        <w:t xml:space="preserve">STAGE B-2C · 水量二阶松弛校正</w:t>
      </w:r>
    </w:p>
    <w:p>
      <w:pPr>
        <w:pStyle w:val="Title"/>
      </w:pPr>
      <w:r>
        <w:t xml:space="preserve">阶段B-2C：水量二阶松弛校正实验报告</w:t>
      </w:r>
    </w:p>
    <w:p>
      <w:pPr>
        <w:pStyle w:val="Subtitle"/>
      </w:pPr>
      <w:r>
        <w:t xml:space="preserve">从权威检查点续算 · 保持正式模型与停止阈值不变 · 隔离算法实验</w:t>
      </w:r>
    </w:p>
    <w:p>
      <w:pPr>
        <w:pStyle w:val="MastheadMetadata"/>
      </w:pPr>
      <w:r>
        <w:rPr>
          <w:b/>
          <w:bCs/>
        </w:rPr>
        <w:t xml:space="preserve">运行标识： </w:t>
      </w:r>
      <w:r>
        <w:t xml:space="preserve">20260811_101510_stage_B_WATER2_4168a6e9</w:t>
      </w:r>
    </w:p>
    <w:p>
      <w:pPr>
        <w:pStyle w:val="MastheadMetadata"/>
      </w:pPr>
      <w:r>
        <w:rPr>
          <w:b/>
          <w:bCs/>
        </w:rPr>
        <w:t xml:space="preserve">阶段： </w:t>
      </w:r>
      <w:r>
        <w:t xml:space="preserve">stage_B / B-2C isolated experiment</w:t>
      </w:r>
    </w:p>
    <w:p>
      <w:pPr>
        <w:pStyle w:val="MastheadMetadata"/>
      </w:pPr>
      <w:r>
        <w:rPr>
          <w:b/>
          <w:bCs/>
        </w:rPr>
        <w:t xml:space="preserve">Git 提交： </w:t>
      </w:r>
      <w:r>
        <w:t xml:space="preserve">4168a6e9fd8b7f6984f40001b1cf004fcee950e6</w:t>
      </w:r>
    </w:p>
    <w:p>
      <w:pPr>
        <w:pStyle w:val="MastheadMetadata"/>
      </w:pPr>
      <w:r>
        <w:rPr>
          <w:b/>
          <w:bCs/>
        </w:rPr>
        <w:t xml:space="preserve">报告生成时 manifest： </w:t>
      </w:r>
      <w:r>
        <w:t xml:space="preserve">PASS</w:t>
      </w:r>
    </w:p>
    <w:p>
      <w:pPr>
        <w:pStyle w:val="MastheadMetadata"/>
      </w:pPr>
      <w:r>
        <w:rPr>
          <w:b/>
          <w:bCs/>
        </w:rPr>
        <w:t xml:space="preserve">事实推导候选终态： </w:t>
      </w:r>
      <w:r>
        <w:t xml:space="preserve">CONVERGED</w:t>
      </w:r>
    </w:p>
    <w:p>
      <w:pPr>
        <w:pStyle w:val="MastheadSpacer"/>
      </w:pPr>
      <w:r>
        <w:t xml:space="preserve"/>
      </w:r>
    </w:p>
    <w:tbl>
      <w:tblPr>
        <w:tblW w:w="9360" w:type="dxa"/>
        <w:tblLayout w:type="fixed"/>
        <w:tblInd w:w="120" w:type="dxa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  <w:shd w:fill="F4F6F9"/>
            <w:vAlign w:val="center"/>
          </w:tcPr>
          <w:p>
            <w:pPr>
              <w:pStyle w:val="CalloutTitle"/>
            </w:pPr>
            <w:r>
              <w:t xml:space="preserve">实验结论</w:t>
            </w:r>
          </w:p>
          <w:p>
            <w:pPr>
              <w:pStyle w:val="CalloutText"/>
            </w:pPr>
            <w:r>
              <w:t xml:space="preserve">实验成功：从权威运行第27次检查点续算时，精确水量二阶松弛校正使四项冻结收敛判据在第17日日块出现数值零主元之前全部通过。该结论只针对隔离实验；正式B-2C入口、模型、阈值和生产状态均未改变。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1. 实验边界</w:t>
      </w:r>
    </w:p>
    <w:p>
      <w:pPr>
        <w:pStyle w:val="Normal"/>
      </w:pPr>
      <w:r>
        <w:t xml:space="preserve">实验从既有权威运行的已接受检查点出发，继续使用同一数据、同一模型、同一四项停止阈值、同一递推方向和同一独立完整KKT审计。唯一新增操作发生在一次普通Newton更新之后：只校正56条二次日水量约束的松弛变量。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360"/>
      </w:tblGrid>
      <w:tr>
        <w:trPr>
          <w:tblHeader/>
          <w:cantSplit/>
        </w:trPr>
        <w:tc>
          <w:tcPr>
            <w:tcW w:w="3000" w:type="dxa"/>
            <w:shd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源run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20260811_050742_stage_B_2C_4168a6e9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源检查点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27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源等价首轮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28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正式求解器修改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否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正式入口修改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否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目标函数/模型口径修改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否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步长修改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否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生产fallback新增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否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2. 校正公式与作用范围</w:t>
      </w:r>
    </w:p>
    <w:p>
      <w:pPr>
        <w:pStyle w:val="Normal"/>
      </w:pPr>
      <w:r>
        <w:t xml:space="preserve">对每条二次水量不等式g(x)≤0，普通更新先得到x⁺=x+αΔx和l_trial=l+αΔl。随后精确计算二阶余项q=g(x⁺)-g(x)-αGΔx，并令l_corrected=l_trial-q。因此校正后的水量残差严格回到(1-α)(g(x)+l)，只消除非线性Taylor余项，不删除物理约束，也不把l直接重置为-g(x)。</w:t>
      </w:r>
    </w:p>
    <w:p>
      <w:pPr>
        <w:pStyle w:val="Normal"/>
      </w:pPr>
      <w:r>
        <w:t xml:space="preserve">未改变的量包括：全部原变量xi、等式乘子y、不等式乘子z、7248条非水量松弛、递推Newton方向、完整KKT审计方向以及原fraction-to-boundary步长。若任一校正水量松弛不再严格为正，实验直接失败，不使用兼容或兜底分支。</w:t>
      </w:r>
    </w:p>
    <w:p>
      <w:pPr>
        <w:pStyle w:val="Heading1"/>
      </w:pPr>
      <w:r>
        <w:t xml:space="preserve">3. 起点与首轮直接对比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1550"/>
        <w:gridCol w:w="1650"/>
        <w:gridCol w:w="1550"/>
        <w:gridCol w:w="1550"/>
        <w:gridCol w:w="1560"/>
      </w:tblGrid>
      <w:tr>
        <w:trPr>
          <w:tblHeader/>
          <w:cantSplit/>
        </w:trPr>
        <w:tc>
          <w:tcPr>
            <w:tcW w:w="1500" w:type="dxa"/>
            <w:shd w:fill="F2F4F7"/>
            <w:vAlign w:val="center"/>
          </w:tcPr>
          <w:p>
            <w:pPr>
              <w:pStyle w:val="TableHeader"/>
            </w:pPr>
            <w:r>
              <w:t xml:space="preserve">点位</w:t>
            </w:r>
          </w:p>
        </w:tc>
        <w:tc>
          <w:tcPr>
            <w:tcW w:w="1550" w:type="dxa"/>
            <w:shd w:fill="F2F4F7"/>
            <w:vAlign w:val="center"/>
          </w:tcPr>
          <w:p>
            <w:pPr>
              <w:pStyle w:val="TableHeader"/>
            </w:pPr>
            <w:r>
              <w:t xml:space="preserve">等式残差</w:t>
            </w:r>
          </w:p>
        </w:tc>
        <w:tc>
          <w:tcPr>
            <w:tcW w:w="1650" w:type="dxa"/>
            <w:shd w:fill="F2F4F7"/>
            <w:vAlign w:val="center"/>
          </w:tcPr>
          <w:p>
            <w:pPr>
              <w:pStyle w:val="TableHeader"/>
            </w:pPr>
            <w:r>
              <w:t xml:space="preserve">不等式残差</w:t>
            </w:r>
          </w:p>
        </w:tc>
        <w:tc>
          <w:tcPr>
            <w:tcW w:w="1550" w:type="dxa"/>
            <w:shd w:fill="F2F4F7"/>
            <w:vAlign w:val="center"/>
          </w:tcPr>
          <w:p>
            <w:pPr>
              <w:pStyle w:val="TableHeader"/>
            </w:pPr>
            <w:r>
              <w:t xml:space="preserve">对偶残差</w:t>
            </w:r>
          </w:p>
        </w:tc>
        <w:tc>
          <w:tcPr>
            <w:tcW w:w="1550" w:type="dxa"/>
            <w:shd w:fill="F2F4F7"/>
            <w:vAlign w:val="center"/>
          </w:tcPr>
          <w:p>
            <w:pPr>
              <w:pStyle w:val="TableHeader"/>
            </w:pPr>
            <w:r>
              <w:t xml:space="preserve">平均l·z</w:t>
            </w:r>
          </w:p>
        </w:tc>
        <w:tc>
          <w:tcPr>
            <w:tcW w:w="1560" w:type="dxa"/>
            <w:shd w:fill="F2F4F7"/>
            <w:vAlign w:val="center"/>
          </w:tcPr>
          <w:p>
            <w:pPr>
              <w:pStyle w:val="TableHeader"/>
            </w:pPr>
            <w:r>
              <w:t xml:space="preserve">水量越界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source_checkpoint_27</w:t>
            </w:r>
          </w:p>
        </w:tc>
        <w:tc>
          <w:tcPr>
            <w:tcW w:w="1550" w:type="dxa"/>
            <w:vAlign w:val="center"/>
          </w:tcPr>
          <w:p>
            <w:pPr>
              <w:pStyle w:val="TableText"/>
            </w:pPr>
            <w:r>
              <w:t xml:space="preserve">7.2759576141834259e-12</w:t>
            </w:r>
          </w:p>
        </w:tc>
        <w:tc>
          <w:tcPr>
            <w:tcW w:w="1650" w:type="dxa"/>
            <w:vAlign w:val="center"/>
          </w:tcPr>
          <w:p>
            <w:pPr>
              <w:pStyle w:val="TableText"/>
            </w:pPr>
            <w:r>
              <w:t xml:space="preserve">0.018911517605081585</w:t>
            </w:r>
          </w:p>
        </w:tc>
        <w:tc>
          <w:tcPr>
            <w:tcW w:w="1550" w:type="dxa"/>
            <w:vAlign w:val="center"/>
          </w:tcPr>
          <w:p>
            <w:pPr>
              <w:pStyle w:val="TableText"/>
            </w:pPr>
            <w:r>
              <w:t xml:space="preserve">1.1339840633532423e-07</w:t>
            </w:r>
          </w:p>
        </w:tc>
        <w:tc>
          <w:tcPr>
            <w:tcW w:w="1550" w:type="dxa"/>
            <w:vAlign w:val="center"/>
          </w:tcPr>
          <w:p>
            <w:pPr>
              <w:pStyle w:val="TableText"/>
            </w:pPr>
            <w:r>
              <w:t xml:space="preserve">0.00011087513585783296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experiment_revision_0</w:t>
            </w:r>
          </w:p>
        </w:tc>
        <w:tc>
          <w:tcPr>
            <w:tcW w:w="1550" w:type="dxa"/>
            <w:vAlign w:val="center"/>
          </w:tcPr>
          <w:p>
            <w:pPr>
              <w:pStyle w:val="TableText"/>
            </w:pPr>
            <w:r>
              <w:t xml:space="preserve">7.2759576141834259e-12</w:t>
            </w:r>
          </w:p>
        </w:tc>
        <w:tc>
          <w:tcPr>
            <w:tcW w:w="1650" w:type="dxa"/>
            <w:vAlign w:val="center"/>
          </w:tcPr>
          <w:p>
            <w:pPr>
              <w:pStyle w:val="TableText"/>
            </w:pPr>
            <w:r>
              <w:t xml:space="preserve">0.018911517605081585</w:t>
            </w:r>
          </w:p>
        </w:tc>
        <w:tc>
          <w:tcPr>
            <w:tcW w:w="1550" w:type="dxa"/>
            <w:vAlign w:val="center"/>
          </w:tcPr>
          <w:p>
            <w:pPr>
              <w:pStyle w:val="TableText"/>
            </w:pPr>
            <w:r>
              <w:t xml:space="preserve">1.1339840633532423e-07</w:t>
            </w:r>
          </w:p>
        </w:tc>
        <w:tc>
          <w:tcPr>
            <w:tcW w:w="1550" w:type="dxa"/>
            <w:vAlign w:val="center"/>
          </w:tcPr>
          <w:p>
            <w:pPr>
              <w:pStyle w:val="TableText"/>
            </w:pPr>
            <w:r>
              <w:t xml:space="preserve">0.00011087513585783296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Spacer"/>
      </w:pPr>
      <w:r>
        <w:t xml:space="preserve"/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00"/>
        <w:gridCol w:w="4960"/>
      </w:tblGrid>
      <w:tr>
        <w:trPr>
          <w:tblHeader/>
          <w:cantSplit/>
        </w:trPr>
        <w:tc>
          <w:tcPr>
            <w:tcW w:w="4400" w:type="dxa"/>
            <w:shd w:fill="F2F4F7"/>
            <w:vAlign w:val="center"/>
          </w:tcPr>
          <w:p>
            <w:pPr>
              <w:pStyle w:val="TableHeader"/>
            </w:pPr>
            <w:r>
              <w:t xml:space="preserve">首轮指标</w:t>
            </w:r>
          </w:p>
        </w:tc>
        <w:tc>
          <w:tcPr>
            <w:tcW w:w="496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普通更新后的不等式残差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0.0040626074610372598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二阶校正后的不等式残差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9.4557590273325332e-06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最大水量二阶余项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0.0040531517020618857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最大校正闭合误差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3.7948700857943726e-13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校正后最小水量松弛</w:t>
            </w:r>
          </w:p>
        </w:tc>
        <w:tc>
          <w:tcPr>
            <w:tcW w:w="4960" w:type="dxa"/>
            <w:vAlign w:val="center"/>
          </w:tcPr>
          <w:p>
            <w:pPr>
              <w:pStyle w:val="TableText"/>
            </w:pPr>
            <w:r>
              <w:t xml:space="preserve">13.566810758062321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4. 连续续算与第17日主元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00"/>
        <w:gridCol w:w="5460"/>
      </w:tblGrid>
      <w:tr>
        <w:trPr>
          <w:tblHeader/>
          <w:cantSplit/>
        </w:trPr>
        <w:tc>
          <w:tcPr>
            <w:tcW w:w="3900" w:type="dxa"/>
            <w:shd w:fill="F2F4F7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546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实验终态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CONVERGED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已接受实验更新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对应源累计更新数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最终等式残差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3.637978807091713e-12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最终不等式残差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2.3661073100811336e-12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最终对偶残差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8.7875797930623046e-11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最终平均l·z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1.1237599015933364e-07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最终水量物理越界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pStyle w:val="TableText"/>
            </w:pPr>
            <w:r>
              <w:t xml:space="preserve">最终第17日零主元数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Spacer"/>
      </w:pPr>
      <w:r>
        <w:t xml:space="preserve"/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50"/>
        <w:gridCol w:w="900"/>
        <w:gridCol w:w="1500"/>
        <w:gridCol w:w="1500"/>
        <w:gridCol w:w="1300"/>
        <w:gridCol w:w="2210"/>
        <w:gridCol w:w="1200"/>
      </w:tblGrid>
      <w:tr>
        <w:trPr>
          <w:tblHeader/>
          <w:cantSplit/>
        </w:trPr>
        <w:tc>
          <w:tcPr>
            <w:tcW w:w="750" w:type="dxa"/>
            <w:shd w:fill="F2F4F7"/>
            <w:vAlign w:val="center"/>
          </w:tcPr>
          <w:p>
            <w:pPr>
              <w:pStyle w:val="TableHeader"/>
            </w:pPr>
            <w:r>
              <w:t xml:space="preserve">实验轮次</w:t>
            </w:r>
          </w:p>
        </w:tc>
        <w:tc>
          <w:tcPr>
            <w:tcW w:w="900" w:type="dxa"/>
            <w:shd w:fill="F2F4F7"/>
            <w:vAlign w:val="center"/>
          </w:tcPr>
          <w:p>
            <w:pPr>
              <w:pStyle w:val="TableHeader"/>
            </w:pPr>
            <w:r>
              <w:t xml:space="preserve">源等价轮次</w:t>
            </w:r>
          </w:p>
        </w:tc>
        <w:tc>
          <w:tcPr>
            <w:tcW w:w="1500" w:type="dxa"/>
            <w:shd w:fill="F2F4F7"/>
            <w:vAlign w:val="center"/>
          </w:tcPr>
          <w:p>
            <w:pPr>
              <w:pStyle w:val="TableHeader"/>
            </w:pPr>
            <w:r>
              <w:t xml:space="preserve">校正前残差</w:t>
            </w:r>
          </w:p>
        </w:tc>
        <w:tc>
          <w:tcPr>
            <w:tcW w:w="1500" w:type="dxa"/>
            <w:shd w:fill="F2F4F7"/>
            <w:vAlign w:val="center"/>
          </w:tcPr>
          <w:p>
            <w:pPr>
              <w:pStyle w:val="TableHeader"/>
            </w:pPr>
            <w:r>
              <w:t xml:space="preserve">校正后残差</w:t>
            </w:r>
          </w:p>
        </w:tc>
        <w:tc>
          <w:tcPr>
            <w:tcW w:w="1300" w:type="dxa"/>
            <w:shd w:fill="F2F4F7"/>
            <w:vAlign w:val="center"/>
          </w:tcPr>
          <w:p>
            <w:pPr>
              <w:pStyle w:val="TableHeader"/>
            </w:pPr>
            <w:r>
              <w:t xml:space="preserve">平均l·z</w:t>
            </w:r>
          </w:p>
        </w:tc>
        <w:tc>
          <w:tcPr>
            <w:tcW w:w="2210" w:type="dxa"/>
            <w:shd w:fill="F2F4F7"/>
            <w:vAlign w:val="center"/>
          </w:tcPr>
          <w:p>
            <w:pPr>
              <w:pStyle w:val="TableHeader"/>
            </w:pPr>
            <w:r>
              <w:t xml:space="preserve">第17日最小主元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t xml:space="preserve">零主元数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0.0040626074610372598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9.4557590273325332e-06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1.1137311621608379e-05</w:t>
            </w:r>
          </w:p>
        </w:tc>
        <w:tc>
          <w:tcPr>
            <w:tcW w:w="2210" w:type="dxa"/>
            <w:vAlign w:val="center"/>
          </w:tcPr>
          <w:p>
            <w:pPr>
              <w:pStyle w:val="TableText"/>
            </w:pPr>
            <w:r>
              <w:t xml:space="preserve">7.7270073253904019e-08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29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0.0034878948222285544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4.7280082071665674e-09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1.1187332841630687e-06</w:t>
            </w:r>
          </w:p>
        </w:tc>
        <w:tc>
          <w:tcPr>
            <w:tcW w:w="2210" w:type="dxa"/>
            <w:vAlign w:val="center"/>
          </w:tcPr>
          <w:p>
            <w:pPr>
              <w:pStyle w:val="TableText"/>
            </w:pPr>
            <w:r>
              <w:t xml:space="preserve">7.9156846822665943e-09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75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0.0028197593551340105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2.3661073100811336e-12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1.1237599015933364e-07</w:t>
            </w:r>
          </w:p>
        </w:tc>
        <w:tc>
          <w:tcPr>
            <w:tcW w:w="2210" w:type="dxa"/>
            <w:vAlign w:val="center"/>
          </w:tcPr>
          <w:p>
            <w:pPr>
              <w:pStyle w:val="TableText"/>
            </w:pPr>
            <w:r>
              <w:t xml:space="preserve">7.9514118578171754e-10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第17日主元表记录的是每轮方向求解时、尚未施加该轮松弛校正前的联合日块LDL结果。因此它直接回答校正轨迹是否在零主元阻断之前达到收敛。</w:t>
      </w:r>
    </w:p>
    <w:p>
      <w:pPr>
        <w:pStyle w:val="Heading1"/>
      </w:pPr>
      <w:r>
        <w:t xml:space="preserve">5. 实际启用与未启用内容</w:t>
      </w:r>
    </w:p>
    <w:p>
      <w:pPr>
        <w:pStyle w:val="Normal"/>
      </w:pPr>
      <w:r>
        <w:t xml:space="preserve">实际启用：第14—20日统一容量投资目标、小时功率平衡、SOC日内递推与每日0.5E闭合、储能时长等式、风光水火储小时边界、四座水电每日水量上下限、全不等式消元、七个日内联合块、16维全局核心、逐轮独立完整KKT审计，以及本实验的56条水量松弛精确二阶校正。</w:t>
      </w:r>
    </w:p>
    <w:p>
      <w:pPr>
        <w:pStyle w:val="Normal"/>
      </w:pPr>
      <w:r>
        <w:t xml:space="preserve">明确未启用：改变目标函数、改变水量口径、动态sigma、预测—校正方向、非线性线搜索、正则化、伪逆、完整KKT方向回退、前一日结果替代、并行、Stage C1，以及对正式B-2C入口的任何集成。</w:t>
      </w:r>
    </w:p>
    <w:p>
      <w:pPr>
        <w:pStyle w:val="Heading1"/>
      </w:pPr>
      <w:r>
        <w:t xml:space="preserve">6. 验收与验证范围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3300"/>
        <w:gridCol w:w="2500"/>
        <w:gridCol w:w="1660"/>
      </w:tblGrid>
      <w:tr>
        <w:trPr>
          <w:tblHeader/>
          <w:cantSplit/>
        </w:trPr>
        <w:tc>
          <w:tcPr>
            <w:tcW w:w="1900" w:type="dxa"/>
            <w:shd w:fill="F2F4F7"/>
            <w:vAlign w:val="center"/>
          </w:tcPr>
          <w:p>
            <w:pPr>
              <w:pStyle w:val="TableHeader"/>
            </w:pPr>
            <w:r>
              <w:t xml:space="preserve">验收项</w:t>
            </w:r>
          </w:p>
        </w:tc>
        <w:tc>
          <w:tcPr>
            <w:tcW w:w="330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  <w:tc>
          <w:tcPr>
            <w:tcW w:w="2500" w:type="dxa"/>
            <w:shd w:fill="F2F4F7"/>
            <w:vAlign w:val="center"/>
          </w:tcPr>
          <w:p>
            <w:pPr>
              <w:pStyle w:val="TableHeader"/>
            </w:pPr>
            <w:r>
              <w:t xml:space="preserve">门限</w:t>
            </w:r>
          </w:p>
        </w:tc>
        <w:tc>
          <w:tcPr>
            <w:tcW w:w="1660" w:type="dxa"/>
            <w:shd w:fill="F2F4F7"/>
            <w:vAlign w:val="center"/>
          </w:tcPr>
          <w:p>
            <w:pPr>
              <w:pStyle w:val="TableHeader"/>
            </w:pPr>
            <w:r>
              <w:t xml:space="preserve">状态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WATER2-INPUT-001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WATER2-SOURCE-001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first_source_equivalent=28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WATER2-SCOPE-001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all_scope_assertions=true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WATER2-CORRECTION-001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max_closure=3.7948700857943726e-13, min_l=13.566810758062321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abs(closure)&lt;=row tolerance and l&gt;0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WATER2-DIRECTION-001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max_direction=1.0061014111836155e-13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&lt;= 1e-10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WATER2-CONVERGENCE-001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CONVERGED, final_ineq=2.3661073100811336e-12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four metrics &lt;= 1e-6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WATER2-PHYSICAL-001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passed=true, max_water=0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physical thresholds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100"/>
        <w:gridCol w:w="1800"/>
        <w:gridCol w:w="1460"/>
      </w:tblGrid>
      <w:tr>
        <w:trPr>
          <w:tblHeader/>
          <w:cantSplit/>
        </w:trPr>
        <w:tc>
          <w:tcPr>
            <w:tcW w:w="6100" w:type="dxa"/>
            <w:shd w:fill="F2F4F7"/>
            <w:vAlign w:val="center"/>
          </w:tcPr>
          <w:p>
            <w:pPr>
              <w:pStyle w:val="TableHeader"/>
            </w:pPr>
            <w:r>
              <w:t xml:space="preserve">文件</w:t>
            </w:r>
          </w:p>
        </w:tc>
        <w:tc>
          <w:tcPr>
            <w:tcW w:w="1800" w:type="dxa"/>
            <w:shd w:fill="F2F4F7"/>
            <w:vAlign w:val="center"/>
          </w:tcPr>
          <w:p>
            <w:pPr>
              <w:pStyle w:val="TableHeader"/>
            </w:pPr>
            <w:r>
              <w:t xml:space="preserve">Code Analyzer问题数</w:t>
            </w:r>
          </w:p>
        </w:tc>
        <w:tc>
          <w:tcPr>
            <w:tcW w:w="1460" w:type="dxa"/>
            <w:shd w:fill="F2F4F7"/>
            <w:vAlign w:val="center"/>
          </w:tcPr>
          <w:p>
            <w:pPr>
              <w:pStyle w:val="TableHeader"/>
            </w:pPr>
            <w:r>
              <w:t xml:space="preserve">状态</w:t>
            </w:r>
          </w:p>
        </w:tc>
      </w:tr>
      <w:tr>
        <w:trPr>
          <w:cantSplit/>
        </w:trPr>
        <w:tc>
          <w:tcPr>
            <w:tcW w:w="6100" w:type="dxa"/>
            <w:vAlign w:val="center"/>
          </w:tcPr>
          <w:p>
            <w:pPr>
              <w:pStyle w:val="TableText"/>
            </w:pPr>
            <w:r>
              <w:t xml:space="preserve">src/+rkkt/+solver/compute_stage_b2c_water_slack_second_order_correction.m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6100" w:type="dxa"/>
            <w:vAlign w:val="center"/>
          </w:tcPr>
          <w:p>
            <w:pPr>
              <w:pStyle w:val="TableText"/>
            </w:pPr>
            <w:r>
              <w:t xml:space="preserve">src/+rkkt/+diagnostics/execute_stage_b2c_water_corrected_iteration.m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6100" w:type="dxa"/>
            <w:vAlign w:val="center"/>
          </w:tcPr>
          <w:p>
            <w:pPr>
              <w:pStyle w:val="TableText"/>
            </w:pPr>
            <w:r>
              <w:t xml:space="preserve">src/+rkkt/+diagnostics/run_stage_b2c_water_correction_experiment.m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6100" w:type="dxa"/>
            <w:vAlign w:val="center"/>
          </w:tcPr>
          <w:p>
            <w:pPr>
              <w:pStyle w:val="TableText"/>
            </w:pPr>
            <w:r>
              <w:t xml:space="preserve">src/+rkkt/+reporting/generate_stage_b2c_water_correction_experiment_report.m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6100" w:type="dxa"/>
            <w:vAlign w:val="center"/>
          </w:tcPr>
          <w:p>
            <w:pPr>
              <w:pStyle w:val="TableText"/>
            </w:pPr>
            <w:r>
              <w:t xml:space="preserve">src/+rkkt/+reporting/validate_stage_b2c_water_correction_report.m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6100" w:type="dxa"/>
            <w:vAlign w:val="center"/>
          </w:tcPr>
          <w:p>
            <w:pPr>
              <w:pStyle w:val="TableText"/>
            </w:pPr>
            <w:r>
              <w:t xml:space="preserve">tests/unit/test_stage_b2c_water_slack_second_order_correction.m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本次为隔离数值实验，执行了新增核心函数定向单测、源检查点哈希复核、逐轮递推/完整KKT方向等价审计、56行校正闭合与正值审计、最终四项停止判据和物理可行性审计。未运行全量测试、完整构建、全量lint或E2E。</w:t>
      </w:r>
    </w:p>
    <w:p>
      <w:pPr>
        <w:pStyle w:val="Heading1"/>
      </w:pPr>
      <w:r>
        <w:t xml:space="preserve">7. 结论边界与下一步</w:t>
      </w:r>
    </w:p>
    <w:p>
      <w:pPr>
        <w:pStyle w:val="Normal"/>
      </w:pPr>
      <w:r>
        <w:t xml:space="preserve">实验结果支持的结论是：当前慢残差主要由二次水量约束的Taylor余项反复注入；精确校正该余项可以让算法在第17日储能交换零模态数值显化之前满足原冻结停止判据。它不证明零模态从数学上消失，也不自动授权写入正式求解器。下一步如决定采用，应将同一校正以显式配置和正式验收集成，再从第0次状态运行全新B-2C。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20260811_101510_stage_B_WATER2_4168a6e9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 B-2C · 隔离续算实验 | 运行 20260811_101510_stage_B_WATER2_4168a6e9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Calibri" w:hAnsi="Calibri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Calibri" w:hAnsi="Calibri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Calibri" w:hAnsi="Calibri" w:eastAsia="Microsoft YaHei"/>
      <w:color w:val="555555"/>
      <w:sz w:val="28"/>
      <w:szCs w:val="28"/>
    </w:rPr>
  </w:style>
  <w:style w:type="paragraph" w:styleId="MastheadKicker">
    <w:name w:val="Masthead Kicker"/>
    <w:basedOn w:val="Normal"/>
    <w:qFormat/>
    <w:pPr>
      <w:spacing w:before="0" w:after="60" w:line="240" w:lineRule="auto"/>
    </w:pPr>
    <w:rPr>
      <w:rFonts w:ascii="Calibri" w:hAnsi="Calibri" w:eastAsia="Microsoft YaHei"/>
      <w:b/>
      <w:bCs/>
      <w:color w:val="2E74B5"/>
      <w:sz w:val="19"/>
      <w:szCs w:val="19"/>
    </w:rPr>
  </w:style>
  <w:style w:type="paragraph" w:styleId="MastheadMetadata">
    <w:name w:val="Masthead Metadata"/>
    <w:basedOn w:val="Normal"/>
    <w:qFormat/>
    <w:pPr>
      <w:spacing w:before="0" w:after="40" w:line="252" w:lineRule="auto"/>
    </w:pPr>
    <w:rPr>
      <w:rFonts w:ascii="Calibri" w:hAnsi="Calibri" w:eastAsia="Microsoft YaHei"/>
      <w:color w:val="000000"/>
      <w:sz w:val="21"/>
      <w:szCs w:val="21"/>
    </w:rPr>
  </w:style>
  <w:style w:type="paragraph" w:styleId="MastheadSpacer">
    <w:name w:val="Masthead Spacer"/>
    <w:basedOn w:val="Normal"/>
    <w:qFormat/>
    <w:pPr>
      <w:spacing w:before="0" w:after="160" w:line="240" w:lineRule="auto"/>
    </w:pPr>
    <w:rPr>
      <w:rFonts w:ascii="Calibri" w:hAnsi="Calibri" w:eastAsia="Microsoft YaHei"/>
      <w:color w:val="FFFFFF"/>
      <w:sz w:val="4"/>
      <w:szCs w:val="4"/>
    </w:rPr>
  </w:style>
  <w:style w:type="paragraph" w:styleId="Heading1">
    <w:name w:val="Heading 1"/>
    <w:basedOn w:val="Normal"/>
    <w:qFormat/>
    <w:pPr>
      <w:keepNext/>
      <w:keepLines/>
      <w:spacing w:before="320" w:after="160" w:line="264" w:lineRule="auto"/>
    </w:pPr>
    <w:rPr>
      <w:rFonts w:ascii="Calibri" w:hAnsi="Calibri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20" w:line="264" w:lineRule="auto"/>
    </w:pPr>
    <w:rPr>
      <w:rFonts w:ascii="Calibri" w:hAnsi="Calibri" w:eastAsia="Microsoft YaHei"/>
      <w:b/>
      <w:bCs/>
      <w:color w:val="2E74B5"/>
      <w:sz w:val="26"/>
      <w:szCs w:val="26"/>
    </w:rPr>
  </w:style>
  <w:style w:type="paragraph" w:styleId="TableHeader">
    <w:name w:val="Table Header"/>
    <w:basedOn w:val="Normal"/>
    <w:qFormat/>
    <w:pPr>
      <w:keepNext/>
      <w:keepLines/>
      <w:spacing w:before="0" w:after="0" w:line="240" w:lineRule="auto"/>
    </w:pPr>
    <w:rPr>
      <w:rFonts w:ascii="Calibri" w:hAnsi="Calibri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Calibri" w:hAnsi="Calibri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Calibri" w:hAnsi="Calibri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Calibri" w:hAnsi="Calibri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Calibri" w:hAnsi="Calibri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Calibri" w:hAnsi="Calibri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Calibri" w:hAnsi="Calibri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stage_B_2C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阶段B-2C：水量二阶松弛校正实验报告</dc:title>
  <dc:creator>MATLAB stage_B_2C reporting</dc:creator>
</cp:coreProperties>
</file>