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MastheadKicker"/>
      </w:pPr>
      <w:r>
        <w:t xml:space="preserve">STAGE B-2C · 七日递推IPM与水量物理验收</w:t>
      </w:r>
    </w:p>
    <w:p>
      <w:pPr>
        <w:pStyle w:val="Title"/>
      </w:pPr>
      <w:r>
        <w:t xml:space="preserve">阶段B-2C：七日递推IPM收敛与水量物理验收报告</w:t>
      </w:r>
    </w:p>
    <w:p>
      <w:pPr>
        <w:pStyle w:val="Subtitle"/>
      </w:pPr>
      <w:r>
        <w:t xml:space="preserve">第14—20日 · 56条日级水量不等式 · 28项物理审计</w:t>
      </w:r>
    </w:p>
    <w:p>
      <w:pPr>
        <w:pStyle w:val="MastheadMetadata"/>
      </w:pPr>
      <w:r>
        <w:rPr>
          <w:b/>
          <w:bCs/>
        </w:rPr>
        <w:t xml:space="preserve">运行标识： </w:t>
      </w:r>
      <w:r>
        <w:t xml:space="preserve">20260811_121452_stage_B_2C_4168a6e9</w:t>
      </w:r>
    </w:p>
    <w:p>
      <w:pPr>
        <w:pStyle w:val="MastheadMetadata"/>
      </w:pPr>
      <w:r>
        <w:rPr>
          <w:b/>
          <w:bCs/>
        </w:rPr>
        <w:t xml:space="preserve">阶段： </w:t>
      </w:r>
      <w:r>
        <w:t xml:space="preserve">stage_B / B-2C</w:t>
      </w:r>
    </w:p>
    <w:p>
      <w:pPr>
        <w:pStyle w:val="MastheadMetadata"/>
      </w:pPr>
      <w:r>
        <w:rPr>
          <w:b/>
          <w:bCs/>
        </w:rPr>
        <w:t xml:space="preserve">Git 提交： </w:t>
      </w:r>
      <w:r>
        <w:t xml:space="preserve">4168a6e9fd8b7f6984f40001b1cf004fcee950e6</w:t>
      </w:r>
    </w:p>
    <w:p>
      <w:pPr>
        <w:pStyle w:val="MastheadMetadata"/>
      </w:pPr>
      <w:r>
        <w:rPr>
          <w:b/>
          <w:bCs/>
        </w:rPr>
        <w:t xml:space="preserve">报告生成时 manifest： </w:t>
      </w:r>
      <w:r>
        <w:t xml:space="preserve">RUNNING</w:t>
      </w:r>
    </w:p>
    <w:p>
      <w:pPr>
        <w:pStyle w:val="MastheadMetadata"/>
      </w:pPr>
      <w:r>
        <w:rPr>
          <w:b/>
          <w:bCs/>
        </w:rPr>
        <w:t xml:space="preserve">事实推导候选终态： </w:t>
      </w:r>
      <w:r>
        <w:t xml:space="preserve">Stage B PASS candidate</w:t>
      </w:r>
    </w:p>
    <w:p>
      <w:pPr>
        <w:pStyle w:val="Masthead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  <w:shd w:fill="F4F6F9"/>
            <w:vAlign w:val="center"/>
          </w:tcPr>
          <w:p>
            <w:pPr>
              <w:pStyle w:val="CalloutTitle"/>
            </w:pPr>
            <w:r>
              <w:t xml:space="preserve">结论</w:t>
            </w:r>
          </w:p>
          <w:p>
            <w:pPr>
              <w:pStyle w:val="CalloutText"/>
            </w:pPr>
            <w:r>
              <w:t xml:space="preserve">非零水量Lagrangian Hessian方向门禁通过；正式主流程在每次普通Newton更新后，对56条水量松弛计算精确二阶余项并执行中心性限幅校正。校正系数beta仅在全量校正会把某条水量松弛压到普通试探值的10%以下时小于1，进入中心性安全区域后恢复为1。第14—20日七日原始—对偶IPM达到四项1e-6停止标准，28个日—站水量审计全部通过1e-8物理阈值。完整KKT逐轮仅作独立审计，未被递推路线消费或用于回退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1. 运行身份与冻结边界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360"/>
      </w:tblGrid>
      <w:tr>
        <w:trPr>
          <w:tblHeader/>
          <w:cantSplit/>
        </w:trPr>
        <w:tc>
          <w:tcPr>
            <w:tcW w:w="3000" w:type="dxa"/>
            <w:shd w:fill="F2F4F7"/>
            <w:vAlign w:val="center"/>
          </w:tcPr>
          <w:p>
            <w:pPr>
              <w:pStyle w:val="TableHeader"/>
            </w:pPr>
            <w:r>
              <w:t xml:space="preserve">字段</w:t>
            </w:r>
          </w:p>
        </w:tc>
        <w:tc>
          <w:tcPr>
            <w:tcW w:w="636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20260811_121452_stage_B_2C_4168a6e9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实现提交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4168a6e9fd8b7f6984f40001b1cf004fcee950e6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父run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20260804_022443_stage_B_2B_4bcd7504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数据范围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第14—20日，每日1—24小时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接受迭代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正式方向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全不等式消元—日内联合块—16维核心递推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完整KKT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逐轮独立审计，不参与状态更新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水量松弛二阶校正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正式启用；每轮56行；Newton方向和主步长不变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年度/并行/火电第二次/Stage C1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均未执行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2. 非零水量 Hessian 门禁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00"/>
        <w:gridCol w:w="2000"/>
        <w:gridCol w:w="2200"/>
        <w:gridCol w:w="1560"/>
      </w:tblGrid>
      <w:tr>
        <w:trPr>
          <w:tblHeader/>
          <w:cantSplit/>
        </w:trPr>
        <w:tc>
          <w:tcPr>
            <w:tcW w:w="3600" w:type="dxa"/>
            <w:shd w:fill="F2F4F7"/>
            <w:vAlign w:val="center"/>
          </w:tcPr>
          <w:p>
            <w:pPr>
              <w:pStyle w:val="TableHeader"/>
            </w:pPr>
            <w:r>
              <w:t xml:space="preserve">检查项</w:t>
            </w:r>
          </w:p>
        </w:tc>
        <w:tc>
          <w:tcPr>
            <w:tcW w:w="200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  <w:tc>
          <w:tcPr>
            <w:tcW w:w="2200" w:type="dxa"/>
            <w:shd w:fill="F2F4F7"/>
            <w:vAlign w:val="center"/>
          </w:tcPr>
          <w:p>
            <w:pPr>
              <w:pStyle w:val="TableHeader"/>
            </w:pPr>
            <w:r>
              <w:t xml:space="preserve">门槛</w:t>
            </w:r>
          </w:p>
        </w:tc>
        <w:tc>
          <w:tcPr>
            <w:tcW w:w="156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WATER_HESSIAN_NNZ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672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==672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WATER_HESSIAN_NONZERO_FROBENIUS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0.025922962793631443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&gt;0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WATER_HESSIAN_SYMMETRY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&lt;=9.9999999999999998e-13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UPPER_LOWER_HESSIAN_SIGN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==1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SAME_DAY_SAME_HYDRO_SUPPORT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==1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DIRECTION_OVERALL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2.4101740166299404e-13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&lt;=1e-10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DIRECTION_XI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1.8145424437254845e-12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&lt;=1e-10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DIRECTION_Y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6.2196301394339142e-13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&lt;=1e-10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DIRECTION_L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1.9736258969918707e-13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&lt;=1e-10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DIRECTION_Z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1.2113901848987228e-12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&lt;=1e-10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RECURSIVE_FULL_KKT_RESIDUAL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2.0154864302555593e-14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&lt;=1e-10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FULL_KKT_AUDIT_RESIDUAL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1.9398904833620482e-14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&lt;=1e-10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FIXED_ZERO_COUNT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422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==422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FIXED_ZERO_VALUE_AND_DIRECTION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==1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NO_FULL_DIRECTION_FALLBACK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==1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FULL_DIRECTION_NOT_CONSUMED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==1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3. 收敛轨迹与方向审计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2600"/>
        <w:gridCol w:w="2260"/>
      </w:tblGrid>
      <w:tr>
        <w:trPr>
          <w:tblHeader/>
          <w:cantSplit/>
        </w:trPr>
        <w:tc>
          <w:tcPr>
            <w:tcW w:w="4500" w:type="dxa"/>
            <w:shd w:fill="F2F4F7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2600" w:type="dxa"/>
            <w:shd w:fill="F2F4F7"/>
            <w:vAlign w:val="center"/>
          </w:tcPr>
          <w:p>
            <w:pPr>
              <w:pStyle w:val="TableHeader"/>
            </w:pPr>
            <w:r>
              <w:t xml:space="preserve">实际值</w:t>
            </w:r>
          </w:p>
        </w:tc>
        <w:tc>
          <w:tcPr>
            <w:tcW w:w="2260" w:type="dxa"/>
            <w:shd w:fill="F2F4F7"/>
            <w:vAlign w:val="center"/>
          </w:tcPr>
          <w:p>
            <w:pPr>
              <w:pStyle w:val="TableHeader"/>
            </w:pPr>
            <w:r>
              <w:t xml:space="preserve">门槛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等式原始残差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4.5474735088646412e-12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≤1e-6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不等式原始残差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4.5474735088646412e-13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≤1e-6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尺度化对偶残差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8.822001967612324e-11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≤1e-6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尺度化平均互补间隙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1.1255616063014672e-07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≤1e-6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最差方向相对误差（迭代27）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1.3596442370269145e-11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≤1e-10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最差递推代回完整KKT残差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5.0435480551951611e-12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≤1e-10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最差完整KKT审计残差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4.6117655294476872e-13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≤1e-10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全程最小l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8.8207491721602109e-08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&gt;0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全程最小z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2.9104607581911233e-11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&gt;0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最大水量校正闭合误差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3.879563337250147e-12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≤逐行舍入容差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校正后最小水量松弛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0.19968554820199369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&gt;0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最小水量校正系数beta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0.14372960534441986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&gt;0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中心性限幅校正迭代数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运行事实</w:t>
            </w:r>
          </w:p>
        </w:tc>
      </w:tr>
      <w:tr>
        <w:trPr>
          <w:cantSplit/>
        </w:trP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末轮水量校正系数beta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260" w:type="dxa"/>
            <w:vAlign w:val="center"/>
          </w:tcPr>
          <w:p>
            <w:pPr>
              <w:pStyle w:val="TableText"/>
            </w:pPr>
            <w:r>
              <w:t xml:space="preserve">=1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每轮均从当前xi/y/l/z重算W、g、G、水量Lagrangian Hessian和D=diag(z./l)，重新分解七个日链与16维核心；保留因子只在当轮23个右端间复用，未跨迭代复用。</w:t>
      </w:r>
    </w:p>
    <w:p>
      <w:pPr>
        <w:pStyle w:val="Normal"/>
      </w:pPr>
      <w:r>
        <w:t xml:space="preserve">正式校正公式为l_corrected=l_trial-beta·[g(x+alpha·dx)-g(x)-alpha·G·dx]。括号内二阶Taylor余项按二次水量函数精确计算。若beta=1不能满足l_corrected≥sigma·l_trial，则以冻结sigma=0.1形成中心性下界，并用冻结tau=0.9995在该边界内保持严格余量；否则beta=1并完整消除余项。xi、y、z、7248条非水量松弛、递推方向、独立完整KKT审计方向以及原始/对偶Newton步长均不改变，且不存在关闭校正或改走其他方向的回退分支。</w:t>
      </w:r>
    </w:p>
    <w:p>
      <w:pPr>
        <w:pStyle w:val="Heading1"/>
      </w:pPr>
      <w:r>
        <w:t xml:space="preserve">4. 28项日—站水量物理审计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1000"/>
        <w:gridCol w:w="1600"/>
        <w:gridCol w:w="1700"/>
        <w:gridCol w:w="1600"/>
        <w:gridCol w:w="1760"/>
        <w:gridCol w:w="1000"/>
      </w:tblGrid>
      <w:tr>
        <w:trPr>
          <w:tblHeader/>
          <w:cantSplit/>
        </w:trPr>
        <w:tc>
          <w:tcPr>
            <w:tcW w:w="700" w:type="dxa"/>
            <w:shd w:fill="F2F4F7"/>
            <w:vAlign w:val="center"/>
          </w:tcPr>
          <w:p>
            <w:pPr>
              <w:pStyle w:val="TableHeader"/>
            </w:pPr>
            <w:r>
              <w:t xml:space="preserve">日</w:t>
            </w:r>
          </w:p>
        </w:tc>
        <w:tc>
          <w:tcPr>
            <w:tcW w:w="1000" w:type="dxa"/>
            <w:shd w:fill="F2F4F7"/>
            <w:vAlign w:val="center"/>
          </w:tcPr>
          <w:p>
            <w:pPr>
              <w:pStyle w:val="TableHeader"/>
            </w:pPr>
            <w:r>
              <w:t xml:space="preserve">水电站</w:t>
            </w:r>
          </w:p>
        </w:tc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t xml:space="preserve">Wmin</w:t>
            </w:r>
          </w:p>
        </w:tc>
        <w:tc>
          <w:tcPr>
            <w:tcW w:w="1700" w:type="dxa"/>
            <w:shd w:fill="F2F4F7"/>
            <w:vAlign w:val="center"/>
          </w:tcPr>
          <w:p>
            <w:pPr>
              <w:pStyle w:val="TableHeader"/>
            </w:pPr>
            <w:r>
              <w:t xml:space="preserve">W</w:t>
            </w:r>
          </w:p>
        </w:tc>
        <w:tc>
          <w:tcPr>
            <w:tcW w:w="1600" w:type="dxa"/>
            <w:shd w:fill="F2F4F7"/>
            <w:vAlign w:val="center"/>
          </w:tcPr>
          <w:p>
            <w:pPr>
              <w:pStyle w:val="TableHeader"/>
            </w:pPr>
            <w:r>
              <w:t xml:space="preserve">Wmax</w:t>
            </w:r>
          </w:p>
        </w:tc>
        <w:tc>
          <w:tcPr>
            <w:tcW w:w="1760" w:type="dxa"/>
            <w:shd w:fill="F2F4F7"/>
            <w:vAlign w:val="center"/>
          </w:tcPr>
          <w:p>
            <w:pPr>
              <w:pStyle w:val="TableHeader"/>
            </w:pPr>
            <w:r>
              <w:t xml:space="preserve">最大违反</w:t>
            </w:r>
          </w:p>
        </w:tc>
        <w:tc>
          <w:tcPr>
            <w:tcW w:w="100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35023.93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38854.251050200495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38915.480000000003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34507.480000000003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38280.855431606775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38341.639999999999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18049.599999999999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19999.492954903846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20055.110000000001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18070.5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20022.639539316762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20078.330000000002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34974.580000000002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38818.109799506994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38860.639999999999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34446.559999999998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38231.768917410933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38273.959999999999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18130.82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20104.800944184306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20145.349999999999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18834.439999999999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20885.581384202113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20927.150000000001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34442.010000000002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38040.210092701687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38268.900000000001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34566.800000000003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38178.158464617496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38407.559999999998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18267.790000000001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20149.404546821464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20297.540000000001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18641.279999999999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20560.359486079618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20712.529999999999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34716.970000000001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38462.209589998121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38574.410000000003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34602.239999999998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38335.007465039787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38446.93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18030.740000000002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19952.861415529762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20034.16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18310.279999999999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20261.427473815671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20344.759999999998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34871.510000000002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38734.660442846216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38746.120000000003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35081.839999999997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38968.513315814998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38979.82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18009.099999999999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19994.285643667255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20010.110000000001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18063.330000000002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20054.511240926418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20070.369999999999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34738.940000000002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38574.892536698433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38598.82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34447.959999999999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38251.626378734334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38275.510000000002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18319.950000000001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20329.75146962201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20355.5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18267.07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20271.001185396588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20296.740000000002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34463.269999999997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38251.629913520526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38292.519999999997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34906.730000000003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38744.098545510373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38785.260000000002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18048.439999999999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20014.561585015119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20053.82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18259.790000000001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20249.023056982063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20288.650000000001</w:t>
            </w:r>
          </w:p>
        </w:tc>
        <w:tc>
          <w:tcPr>
            <w:tcW w:w="17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5. 验收、测试与执行边界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5760"/>
        <w:gridCol w:w="1800"/>
      </w:tblGrid>
      <w:tr>
        <w:trPr>
          <w:tblHeader/>
          <w:cantSplit/>
        </w:trPr>
        <w:tc>
          <w:tcPr>
            <w:tcW w:w="1800" w:type="dxa"/>
            <w:shd w:fill="F2F4F7"/>
            <w:vAlign w:val="center"/>
          </w:tcPr>
          <w:p>
            <w:pPr>
              <w:pStyle w:val="TableHeader"/>
            </w:pPr>
            <w:r>
              <w:t xml:space="preserve">验收项</w:t>
            </w:r>
          </w:p>
        </w:tc>
        <w:tc>
          <w:tcPr>
            <w:tcW w:w="5760" w:type="dxa"/>
            <w:shd w:fill="F2F4F7"/>
            <w:vAlign w:val="center"/>
          </w:tcPr>
          <w:p>
            <w:pPr>
              <w:pStyle w:val="TableHeader"/>
            </w:pPr>
            <w:r>
              <w:t xml:space="preserve">真实工件值</w:t>
            </w:r>
          </w:p>
        </w:tc>
        <w:tc>
          <w:tcPr>
            <w:tcW w:w="180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SB-DATA-001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28/28 input rows PASS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SB-DER-001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H_water nnz=672; min_beta=0.14372960534441986; final_beta=1; max_closure=3.879563337250147e-12; min_l=0.19968554820199369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SB-EQ-001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worst_direction=1.3596442370269145e-11; worst_recursive_residual=5.0435480551951611e-12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SB-PHY-001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28/28; maximum_violation=0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000"/>
        <w:gridCol w:w="1800"/>
        <w:gridCol w:w="2560"/>
      </w:tblGrid>
      <w:tr>
        <w:trPr>
          <w:tblHeader/>
          <w:cantSplit/>
        </w:trPr>
        <w:tc>
          <w:tcPr>
            <w:tcW w:w="5000" w:type="dxa"/>
            <w:shd w:fill="F2F4F7"/>
            <w:vAlign w:val="center"/>
          </w:tcPr>
          <w:p>
            <w:pPr>
              <w:pStyle w:val="TableHeader"/>
            </w:pPr>
            <w:r>
              <w:t xml:space="preserve">测试套件</w:t>
            </w:r>
          </w:p>
        </w:tc>
        <w:tc>
          <w:tcPr>
            <w:tcW w:w="1800" w:type="dxa"/>
            <w:shd w:fill="F2F4F7"/>
            <w:vAlign w:val="center"/>
          </w:tcPr>
          <w:p>
            <w:pPr>
              <w:pStyle w:val="TableHeader"/>
            </w:pPr>
            <w:r>
              <w:t xml:space="preserve">总数</w:t>
            </w:r>
          </w:p>
        </w:tc>
        <w:tc>
          <w:tcPr>
            <w:tcW w:w="2560" w:type="dxa"/>
            <w:shd w:fill="F2F4F7"/>
            <w:vAlign w:val="center"/>
          </w:tcPr>
          <w:p>
            <w:pPr>
              <w:pStyle w:val="TableHeader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B-2C固定测试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B-2B回归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B-2A回归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19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B-1回归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B-1受影响回归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Stage-A结构回归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pStyle w:val="TableText"/>
            </w:pPr>
            <w:r>
              <w:t xml:space="preserve">A4-3受影响测试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2560" w:type="dxa"/>
            <w:vAlign w:val="center"/>
          </w:tcPr>
          <w:p>
            <w:pPr>
              <w:pStyle w:val="TableText"/>
            </w:pPr>
            <w:r>
              <w:t xml:space="preserve">17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6. 输入哈希与证据真实性</w:t>
      </w:r>
    </w:p>
    <w:tbl>
      <w:tblPr>
        <w:tblW w:w="9360" w:type="dxa"/>
        <w:tblLayout w:type="fixed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3" w:color="D9DEE7"/>
          <w:insideV w:val="single" w:sz="3" w:color="D9DEE7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5260"/>
        <w:gridCol w:w="1800"/>
      </w:tblGrid>
      <w:tr>
        <w:trPr>
          <w:tblHeader/>
          <w:cantSplit/>
        </w:trPr>
        <w:tc>
          <w:tcPr>
            <w:tcW w:w="2300" w:type="dxa"/>
            <w:shd w:fill="F2F4F7"/>
            <w:vAlign w:val="center"/>
          </w:tcPr>
          <w:p>
            <w:pPr>
              <w:pStyle w:val="TableHeader"/>
            </w:pPr>
            <w:r>
              <w:t xml:space="preserve">输入文件</w:t>
            </w:r>
          </w:p>
        </w:tc>
        <w:tc>
          <w:tcPr>
            <w:tcW w:w="5260" w:type="dxa"/>
            <w:shd w:fill="F2F4F7"/>
            <w:vAlign w:val="center"/>
          </w:tcPr>
          <w:p>
            <w:pPr>
              <w:pStyle w:val="TableHeader"/>
            </w:pPr>
            <w:r>
              <w:t xml:space="preserve">SHA256</w:t>
            </w:r>
          </w:p>
        </w:tc>
        <w:tc>
          <w:tcPr>
            <w:tcW w:w="1800" w:type="dxa"/>
            <w:shd w:fill="F2F4F7"/>
            <w:vAlign w:val="center"/>
          </w:tcPr>
          <w:p>
            <w:pPr>
              <w:pStyle w:val="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基础参数.xlsx</w:t>
            </w:r>
          </w:p>
        </w:tc>
        <w:tc>
          <w:tcPr>
            <w:tcW w:w="5260" w:type="dxa"/>
            <w:vAlign w:val="center"/>
          </w:tcPr>
          <w:p>
            <w:pPr>
              <w:pStyle w:val="TableText"/>
            </w:pPr>
            <w:r>
              <w:t xml:space="preserve">aebb35fa80e6ba2fb8d4534b09a141feaedcb2b9d027e9924e7a0091943c4277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输入数据.xlsx</w:t>
            </w:r>
          </w:p>
        </w:tc>
        <w:tc>
          <w:tcPr>
            <w:tcW w:w="5260" w:type="dxa"/>
            <w:vAlign w:val="center"/>
          </w:tcPr>
          <w:p>
            <w:pPr>
              <w:pStyle w:val="TableText"/>
            </w:pPr>
            <w:r>
              <w:t xml:space="preserve">10baac1dc5d0b07dbbb9d2fe8f9aac82f071e43d4fb9901ff7ba0b467d05c186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本报告所有数值均由当前唯一run的CSV、JSON和MAT工件重读生成。两份Excel、冻结模型合同、B-1/B-2A/B-2B/A4历史runs均未修改；未执行365日、并行、火电第二次或Stage C1实现。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20260811_121452_stage_B_2C_4168a6e9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 B-2C · 正式七日收敛验证 | 运行 20260811_121452_stage_B_2C_4168a6e9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Calibri" w:hAnsi="Calibri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Calibri" w:hAnsi="Calibri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Calibri" w:hAnsi="Calibri" w:eastAsia="Microsoft YaHei"/>
      <w:color w:val="555555"/>
      <w:sz w:val="28"/>
      <w:szCs w:val="28"/>
    </w:rPr>
  </w:style>
  <w:style w:type="paragraph" w:styleId="MastheadKicker">
    <w:name w:val="Masthead Kicker"/>
    <w:basedOn w:val="Normal"/>
    <w:qFormat/>
    <w:pPr>
      <w:spacing w:before="0" w:after="60" w:line="240" w:lineRule="auto"/>
    </w:pPr>
    <w:rPr>
      <w:rFonts w:ascii="Calibri" w:hAnsi="Calibri" w:eastAsia="Microsoft YaHei"/>
      <w:b/>
      <w:bCs/>
      <w:color w:val="2E74B5"/>
      <w:sz w:val="19"/>
      <w:szCs w:val="19"/>
    </w:rPr>
  </w:style>
  <w:style w:type="paragraph" w:styleId="MastheadMetadata">
    <w:name w:val="Masthead Metadata"/>
    <w:basedOn w:val="Normal"/>
    <w:qFormat/>
    <w:pPr>
      <w:spacing w:before="0" w:after="40" w:line="252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MastheadSpacer">
    <w:name w:val="Masthead Spacer"/>
    <w:basedOn w:val="Normal"/>
    <w:qFormat/>
    <w:pPr>
      <w:spacing w:before="0" w:after="16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Heading1">
    <w:name w:val="Heading 1"/>
    <w:basedOn w:val="Normal"/>
    <w:qFormat/>
    <w:pPr>
      <w:keepNext/>
      <w:keepLines/>
      <w:spacing w:before="320" w:after="160" w:line="264" w:lineRule="auto"/>
    </w:pPr>
    <w:rPr>
      <w:rFonts w:ascii="Calibri" w:hAnsi="Calibri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20" w:line="264" w:lineRule="auto"/>
    </w:pPr>
    <w:rPr>
      <w:rFonts w:ascii="Calibri" w:hAnsi="Calibri" w:eastAsia="Microsoft YaHei"/>
      <w:b/>
      <w:bCs/>
      <w:color w:val="2E74B5"/>
      <w:sz w:val="26"/>
      <w:szCs w:val="26"/>
    </w:rPr>
  </w:style>
  <w:style w:type="paragraph" w:styleId="TableHeader">
    <w:name w:val="Table Header"/>
    <w:basedOn w:val="Normal"/>
    <w:qFormat/>
    <w:pPr>
      <w:keepNext/>
      <w:keepLines/>
      <w:spacing w:before="0" w:after="0" w:line="240" w:lineRule="auto"/>
    </w:pPr>
    <w:rPr>
      <w:rFonts w:ascii="Calibri" w:hAnsi="Calibri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Calibri" w:hAnsi="Calibri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Calibri" w:hAnsi="Calibri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Calibri" w:hAnsi="Calibri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Calibri" w:hAnsi="Calibri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Calibri" w:hAnsi="Calibri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Calibri" w:hAnsi="Calibri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stage_B_2C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阶段B-2C：七日递推IPM收敛与水量物理验收报告</dc:title>
  <dc:creator>MATLAB stage_B_2C reporting</dc:creator>
</cp:coreProperties>
</file>