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MastheadKicker"/>
      </w:pPr>
      <w:r>
        <w:t xml:space="preserve">STAGE B-2C · 30日递推IPM实验</w:t>
      </w:r>
    </w:p>
    <w:p>
      <w:pPr>
        <w:pStyle w:val="Title"/>
      </w:pPr>
      <w:r>
        <w:t xml:space="preserve">阶段B-2C：30日递推IPM实验报告</w:t>
      </w:r>
    </w:p>
    <w:p>
      <w:pPr>
        <w:pStyle w:val="Subtitle"/>
      </w:pPr>
      <w:r>
        <w:t xml:space="preserve">第1—30日 · 日内联合块递推 · 无完整KKT审计</w:t>
      </w:r>
    </w:p>
    <w:p>
      <w:pPr>
        <w:pStyle w:val="MastheadMetadata"/>
      </w:pPr>
      <w:r>
        <w:rPr>
          <w:b/>
          <w:bCs/>
        </w:rPr>
        <w:t xml:space="preserve">运行标识： </w:t>
      </w:r>
      <w:r>
        <w:t xml:space="preserve">20260811_155000_stage_B_2C_30day_full_final</w:t>
      </w:r>
    </w:p>
    <w:p>
      <w:pPr>
        <w:pStyle w:val="MastheadMetadata"/>
      </w:pPr>
      <w:r>
        <w:rPr>
          <w:b/>
          <w:bCs/>
        </w:rPr>
        <w:t xml:space="preserve">阶段： </w:t>
      </w:r>
      <w:r>
        <w:t xml:space="preserve">stage_B / B-2C 30日实验</w:t>
      </w:r>
    </w:p>
    <w:p>
      <w:pPr>
        <w:pStyle w:val="MastheadMetadata"/>
      </w:pPr>
      <w:r>
        <w:rPr>
          <w:b/>
          <w:bCs/>
        </w:rPr>
        <w:t xml:space="preserve">Git 提交： </w:t>
      </w:r>
      <w:r>
        <w:t xml:space="preserve">4168a6e9fd8b7f6984f40001b1cf004fcee950e6</w:t>
      </w:r>
    </w:p>
    <w:p>
      <w:pPr>
        <w:pStyle w:val="MastheadMetadata"/>
      </w:pPr>
      <w:r>
        <w:rPr>
          <w:b/>
          <w:bCs/>
        </w:rPr>
        <w:t xml:space="preserve">报告生成时 manifest： </w:t>
      </w:r>
      <w:r>
        <w:t xml:space="preserve">PASS</w:t>
      </w:r>
    </w:p>
    <w:p>
      <w:pPr>
        <w:pStyle w:val="MastheadMetadata"/>
      </w:pPr>
      <w:r>
        <w:rPr>
          <w:b/>
          <w:bCs/>
        </w:rPr>
        <w:t xml:space="preserve">事实推导候选终态： </w:t>
      </w:r>
      <w:r>
        <w:t xml:space="preserve">30日已收敛</w:t>
      </w:r>
    </w:p>
    <w:p>
      <w:pPr>
        <w:pStyle w:val="MastheadSpacer"/>
      </w:pPr>
      <w:r>
        <w:t xml:space="preserve"/>
      </w:r>
    </w:p>
    <w:tbl>
      <w:tblPr>
        <w:tblW w:w="9360" w:type="dxa"/>
        <w:tblLayout w:type="fixed"/>
        <w:tblInd w:w="120" w:type="dxa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nil"/>
          <w:insideV w:val="nil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  <w:shd w:fill="F4F6F9"/>
            <w:vAlign w:val="center"/>
          </w:tcPr>
          <w:p>
            <w:pPr>
              <w:pStyle w:val="CalloutTitle"/>
            </w:pPr>
            <w:r>
              <w:t xml:space="preserve">实验结论</w:t>
            </w:r>
          </w:p>
          <w:p>
            <w:pPr>
              <w:pStyle w:val="CalloutText"/>
            </w:pPr>
            <w:r>
              <w:t xml:space="preserve">第1—30日递推原始—对偶IPM已满足四项停止判据；本次全程未装配、未求解完整KKT审计系统，方向有效性由每轮重构KKT残差门禁保证。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1. 实验边界与算法口径</w:t>
      </w:r>
    </w:p>
    <w:p>
      <w:pPr>
        <w:pStyle w:val="Normal"/>
      </w:pPr>
      <w:r>
        <w:t xml:space="preserve">计算范围为第1—30日，每日24小时；各日储能初末SOC均为0.5E，日期之间不连接SOC。采用全不等式消元、30个日内联合块和16维全局核心的递推Newton方向。保留水量约束精确二阶松弛校正、独立原始/对偶步长及原四项收敛阈值。某日日块局部残差超过1e-10时，最多复用原LDL因子做3次残差校正，不重新分解。完整KKT仅作为维数概念记录，本实验没有装配、求解或计时完整KKT，也没有用完整方向兜底。正式七日流程、火电第二次求解和Stage C1均未改变。</w:t>
      </w:r>
    </w:p>
    <w:p>
      <w:pPr>
        <w:pStyle w:val="Heading1"/>
      </w:pPr>
      <w:r>
        <w:t xml:space="preserve">2. 规模与耗时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400"/>
        <w:gridCol w:w="4960"/>
      </w:tblGrid>
      <w:tr>
        <w:trPr>
          <w:tblHeader/>
          <w:cantSplit/>
        </w:trPr>
        <w:tc>
          <w:tcPr>
            <w:tcW w:w="4400" w:type="dxa"/>
            <w:shd w:fill="F2F4F7"/>
            <w:vAlign w:val="center"/>
          </w:tcPr>
          <w:p>
            <w:pPr>
              <w:pStyle w:val="TableHeader"/>
            </w:pPr>
            <w:r>
              <w:t xml:space="preserve">规模/耗时项目</w:t>
            </w:r>
          </w:p>
        </w:tc>
        <w:tc>
          <w:tcPr>
            <w:tcW w:w="4960" w:type="dxa"/>
            <w:shd w:fill="F2F4F7"/>
            <w:vAlign w:val="center"/>
          </w:tcPr>
          <w:p>
            <w:pPr>
              <w:pStyle w:val="TableHeader"/>
            </w:pPr>
            <w:r>
              <w:t xml:space="preserve">实际值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days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hours_per_day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primal_variables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15910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equalities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2642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base_inequalities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30980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water_inequalities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240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total_inequalities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31220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reconstructed_full_kkt_dimension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80992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daily_joint_block_count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global_core_dimension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fixed_zero_count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1804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index_build_seconds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22.5330829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preparation_seconds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48.737884600000001</w:t>
            </w:r>
          </w:p>
        </w:tc>
      </w:tr>
    </w:tbl>
    <w:p>
      <w:pPr>
        <w:pStyle w:val="TableSpacer"/>
      </w:pPr>
      <w:r>
        <w:t xml:space="preserve"/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400"/>
        <w:gridCol w:w="4960"/>
      </w:tblGrid>
      <w:tr>
        <w:trPr>
          <w:tblHeader/>
          <w:cantSplit/>
        </w:trPr>
        <w:tc>
          <w:tcPr>
            <w:tcW w:w="4400" w:type="dxa"/>
            <w:shd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4960" w:type="dxa"/>
            <w:shd w:fill="F2F4F7"/>
            <w:vAlign w:val="center"/>
          </w:tcPr>
          <w:p>
            <w:pPr>
              <w:pStyle w:val="TableHeader"/>
            </w:pPr>
            <w:r>
              <w:t xml:space="preserve">实际值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接受迭代次数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纯递推IPM迭代秒数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542.58474880000006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递推方向内核累计秒数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10.972364600000001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迭代内线性化装配累计秒数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388.6735786000001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完整KKT审计秒数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是否执行完整KKT审计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3. 收敛轨迹（最后10次迭代）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50"/>
        <w:gridCol w:w="1300"/>
        <w:gridCol w:w="1300"/>
        <w:gridCol w:w="1250"/>
        <w:gridCol w:w="1250"/>
        <w:gridCol w:w="1000"/>
        <w:gridCol w:w="1000"/>
        <w:gridCol w:w="1610"/>
      </w:tblGrid>
      <w:tr>
        <w:trPr>
          <w:tblHeader/>
          <w:cantSplit/>
        </w:trPr>
        <w:tc>
          <w:tcPr>
            <w:tcW w:w="650" w:type="dxa"/>
            <w:shd w:fill="F2F4F7"/>
            <w:vAlign w:val="center"/>
          </w:tcPr>
          <w:p>
            <w:pPr>
              <w:pStyle w:val="TableHeader"/>
            </w:pPr>
            <w:r>
              <w:t xml:space="preserve">迭代</w:t>
            </w:r>
          </w:p>
        </w:tc>
        <w:tc>
          <w:tcPr>
            <w:tcW w:w="1300" w:type="dxa"/>
            <w:shd w:fill="F2F4F7"/>
            <w:vAlign w:val="center"/>
          </w:tcPr>
          <w:p>
            <w:pPr>
              <w:pStyle w:val="TableHeader"/>
            </w:pPr>
            <w:r>
              <w:t xml:space="preserve">等式残差</w:t>
            </w:r>
          </w:p>
        </w:tc>
        <w:tc>
          <w:tcPr>
            <w:tcW w:w="1300" w:type="dxa"/>
            <w:shd w:fill="F2F4F7"/>
            <w:vAlign w:val="center"/>
          </w:tcPr>
          <w:p>
            <w:pPr>
              <w:pStyle w:val="TableHeader"/>
            </w:pPr>
            <w:r>
              <w:t xml:space="preserve">不等式残差</w:t>
            </w:r>
          </w:p>
        </w:tc>
        <w:tc>
          <w:tcPr>
            <w:tcW w:w="1250" w:type="dxa"/>
            <w:shd w:fill="F2F4F7"/>
            <w:vAlign w:val="center"/>
          </w:tcPr>
          <w:p>
            <w:pPr>
              <w:pStyle w:val="TableHeader"/>
            </w:pPr>
            <w:r>
              <w:t xml:space="preserve">对偶残差</w:t>
            </w:r>
          </w:p>
        </w:tc>
        <w:tc>
          <w:tcPr>
            <w:tcW w:w="1250" w:type="dxa"/>
            <w:shd w:fill="F2F4F7"/>
            <w:vAlign w:val="center"/>
          </w:tcPr>
          <w:p>
            <w:pPr>
              <w:pStyle w:val="TableHeader"/>
            </w:pPr>
            <w:r>
              <w:t xml:space="preserve">平均互补隙</w:t>
            </w:r>
          </w:p>
        </w:tc>
        <w:tc>
          <w:tcPr>
            <w:tcW w:w="1000" w:type="dxa"/>
            <w:shd w:fill="F2F4F7"/>
            <w:vAlign w:val="center"/>
          </w:tcPr>
          <w:p>
            <w:pPr>
              <w:pStyle w:val="TableHeader"/>
            </w:pPr>
            <w:r>
              <w:t xml:space="preserve">原始步长</w:t>
            </w:r>
          </w:p>
        </w:tc>
        <w:tc>
          <w:tcPr>
            <w:tcW w:w="1000" w:type="dxa"/>
            <w:shd w:fill="F2F4F7"/>
            <w:vAlign w:val="center"/>
          </w:tcPr>
          <w:p>
            <w:pPr>
              <w:pStyle w:val="TableHeader"/>
            </w:pPr>
            <w:r>
              <w:t xml:space="preserve">对偶步长</w:t>
            </w:r>
          </w:p>
        </w:tc>
        <w:tc>
          <w:tcPr>
            <w:tcW w:w="1610" w:type="dxa"/>
            <w:shd w:fill="F2F4F7"/>
            <w:vAlign w:val="center"/>
          </w:tcPr>
          <w:p>
            <w:pPr>
              <w:pStyle w:val="TableHeader"/>
            </w:pPr>
            <w:r>
              <w:t xml:space="preserve">重构KKT残差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3.840411409328226e-06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0.88799858914895258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5.1466486978520021e-05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0.063614982867730208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0.042127461387117163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0.11263978082401889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7.0938308459776969e-13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23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3.4621898521436378e-06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0.80054341718826849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3.9876499831267842e-05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0.060641293344861236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0.098485710483504338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0.041419204150760856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6.8754986090170102e-13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3.3596706998650916e-06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0.77683915318089103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7.5767970952947405e-05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0.048055732624974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0.029610216633388111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0.28398146412574482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1.0486952003439628e-12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2.1030909920227714e-06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0.48628665118124537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2.4136864825750198e-05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0.041507648988592161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0.37401886968484066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0.087244962167819545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1.8649091425553441e-12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2.0728220988530666e-06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0.47928776980444643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1.3357787894283102e-05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0.024795576548660075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0.014392501541627602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0.45139229558209509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7.867790423816459e-12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27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1.0075009413412772e-06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0.23295927629405822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5.6337774159836984e-06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0.002546636981906008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0.51394696261682693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1.1550422126111392e-12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2.7166606741957366e-08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0.0062815662903805691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2.039860933754638e-07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0.0002559532324459754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0.97303577522085227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1.0408002764784845e-11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29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1.4551915228366852e-11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3.1407831451168988e-06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1.5008974663459319e-08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2.5710284705723081e-05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1.0849495539242632e-11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30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4.5474735088646412e-12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1.5703913724962604e-09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1.3614281796962916e-09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2.5825794494577975e-06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1.0750569358409849e-11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4.5474735088646412e-12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9.0949470177292824e-13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1.2245016681823929e-10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2.5941858921630775e-07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0.99950000000000006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t xml:space="preserve">1.1752538128386851e-11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4. 日块数值诊断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1400"/>
        <w:gridCol w:w="2300"/>
        <w:gridCol w:w="2500"/>
        <w:gridCol w:w="2460"/>
      </w:tblGrid>
      <w:tr>
        <w:trPr>
          <w:tblHeader/>
          <w:cantSplit/>
        </w:trPr>
        <w:tc>
          <w:tcPr>
            <w:tcW w:w="700" w:type="dxa"/>
            <w:shd w:fill="F2F4F7"/>
            <w:vAlign w:val="center"/>
          </w:tcPr>
          <w:p>
            <w:pPr>
              <w:pStyle w:val="TableHeader"/>
            </w:pPr>
            <w:r>
              <w:t xml:space="preserve">日</w:t>
            </w:r>
          </w:p>
        </w:tc>
        <w:tc>
          <w:tcPr>
            <w:tcW w:w="1400" w:type="dxa"/>
            <w:shd w:fill="F2F4F7"/>
            <w:vAlign w:val="center"/>
          </w:tcPr>
          <w:p>
            <w:pPr>
              <w:pStyle w:val="TableHeader"/>
            </w:pPr>
            <w:r>
              <w:t xml:space="preserve">分解次数</w:t>
            </w:r>
          </w:p>
        </w:tc>
        <w:tc>
          <w:tcPr>
            <w:tcW w:w="2300" w:type="dxa"/>
            <w:shd w:fill="F2F4F7"/>
            <w:vAlign w:val="center"/>
          </w:tcPr>
          <w:p>
            <w:pPr>
              <w:pStyle w:val="TableHeader"/>
            </w:pPr>
            <w:r>
              <w:t xml:space="preserve">最小绝对主元</w:t>
            </w:r>
          </w:p>
        </w:tc>
        <w:tc>
          <w:tcPr>
            <w:tcW w:w="2500" w:type="dxa"/>
            <w:shd w:fill="F2F4F7"/>
            <w:vAlign w:val="center"/>
          </w:tcPr>
          <w:p>
            <w:pPr>
              <w:pStyle w:val="TableHeader"/>
            </w:pPr>
            <w:r>
              <w:t xml:space="preserve">最大右端相对残差</w:t>
            </w:r>
          </w:p>
        </w:tc>
        <w:tc>
          <w:tcPr>
            <w:tcW w:w="2460" w:type="dxa"/>
            <w:shd w:fill="F2F4F7"/>
            <w:vAlign w:val="center"/>
          </w:tcPr>
          <w:p>
            <w:pPr>
              <w:pStyle w:val="TableHeader"/>
            </w:pPr>
            <w:r>
              <w:t xml:space="preserve">零主元次数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1.1445702814282181e-05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8.7817307003415577e-12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1.2039421047423624e-05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2.9917240730784433e-12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2.0015660829612701e-05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4.0548683367387833e-12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1.2564671710501437e-05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2.7408287677873428e-12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1.7741563587630146e-05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3.2660961397460896e-12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2.6291756689834502e-05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5.0949503480614045e-12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2.7345861349360757e-05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3.3030817049541526e-12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6.4934847925887401e-06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3.7780866284333183e-12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4.470858178481369e-05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2.8607427609252268e-12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2.9496283986213167e-05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2.8890227048585415e-12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2.0327505573106309e-05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3.5685273093689853e-12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4.6409147461268286e-06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2.6185627333848109e-12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4.1530529807263189e-05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3.1316621773577552e-12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3.0776031314708799e-05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3.7457532798879881e-12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2.1193314770896023e-05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3.8747815556255231e-12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5.3255137926913378e-05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2.2979516847340467e-12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3.2023598355576182e-05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3.1280537762607811e-12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6.7103106872588773e-06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4.2118215370526748e-12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2.0662080821167077e-05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3.4555278815083616e-12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9.4144200663190601e-06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3.7820668985132637e-12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4.2175404201886143e-05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2.1050439710760021e-12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2.5434876945261797e-05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4.1631925612468303e-12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23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8.7783751471909062e-06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2.9925413282070984e-12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3.3987696220783847e-14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6.4300775209957066e-11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1.6578737786811933e-05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2.4589131976084863e-12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3.8231281844891379e-05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2.3203346579626013e-12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27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1.4457835433841729e-05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2.6989026211967815e-12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28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2.0306830332951933e-05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3.2722170807198755e-12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29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5.0026481581685203e-06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4.932722676542304e-12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30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31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1.3831660857745836e-05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2.9552043184967555e-12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日块局部弱主元只作为诊断；真正的方向接受条件仍是完整方向代回共享线性化对象后的重构KKT相对残差不超过1e-10。</w:t>
      </w:r>
    </w:p>
    <w:p>
      <w:pPr>
        <w:pStyle w:val="Heading1"/>
      </w:pPr>
      <w:r>
        <w:t xml:space="preserve">5. 容量规划结果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4300"/>
        <w:gridCol w:w="4160"/>
      </w:tblGrid>
      <w:tr>
        <w:trPr>
          <w:tblHeader/>
          <w:cantSplit/>
        </w:trPr>
        <w:tc>
          <w:tcPr>
            <w:tcW w:w="900" w:type="dxa"/>
            <w:shd w:fill="F2F4F7"/>
            <w:vAlign w:val="center"/>
          </w:tcPr>
          <w:p>
            <w:pPr>
              <w:pStyle w:val="TableHeader"/>
            </w:pPr>
            <w:r>
              <w:t xml:space="preserve">序号</w:t>
            </w:r>
          </w:p>
        </w:tc>
        <w:tc>
          <w:tcPr>
            <w:tcW w:w="4300" w:type="dxa"/>
            <w:shd w:fill="F2F4F7"/>
            <w:vAlign w:val="center"/>
          </w:tcPr>
          <w:p>
            <w:pPr>
              <w:pStyle w:val="TableHeader"/>
            </w:pPr>
            <w:r>
              <w:t xml:space="preserve">容量变量</w:t>
            </w:r>
          </w:p>
        </w:tc>
        <w:tc>
          <w:tcPr>
            <w:tcW w:w="4160" w:type="dxa"/>
            <w:shd w:fill="F2F4F7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QW1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1679.9999998019744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QW2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1029.9999997429384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QW3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1279.9999997183779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QW4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949.99999977574737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QW5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1059.9999997501218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QP1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1136.0000004105921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QP2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1080.0000004079488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QP3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960.00000039107988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QP4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840.0000003879054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QP5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784.00000036005156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QS1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299.99999719922471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QS2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293.94446129384835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ES1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599.99999439844942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ES2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587.8889225876967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6. 各类电源每日发电量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00"/>
        <w:gridCol w:w="1200"/>
        <w:gridCol w:w="1200"/>
        <w:gridCol w:w="1200"/>
        <w:gridCol w:w="1200"/>
        <w:gridCol w:w="1200"/>
        <w:gridCol w:w="1200"/>
        <w:gridCol w:w="1660"/>
      </w:tblGrid>
      <w:tr>
        <w:trPr>
          <w:tblHeader/>
          <w:cantSplit/>
        </w:trPr>
        <w:tc>
          <w:tcPr>
            <w:tcW w:w="500" w:type="dxa"/>
            <w:shd w:fill="F2F4F7"/>
            <w:vAlign w:val="center"/>
          </w:tcPr>
          <w:p>
            <w:pPr>
              <w:pStyle w:val="TableHeader"/>
            </w:pPr>
            <w:r>
              <w:t xml:space="preserve">日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t xml:space="preserve">风电MWh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t xml:space="preserve">光伏MWh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t xml:space="preserve">水电MWh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t xml:space="preserve">火电MWh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t xml:space="preserve">充电MWh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t xml:space="preserve">放电MWh</w:t>
            </w:r>
          </w:p>
        </w:tc>
        <w:tc>
          <w:tcPr>
            <w:tcW w:w="1660" w:type="dxa"/>
            <w:shd w:fill="F2F4F7"/>
            <w:vAlign w:val="center"/>
          </w:tcPr>
          <w:p>
            <w:pPr>
              <w:pStyle w:val="TableHeader"/>
            </w:pPr>
            <w:r>
              <w:t xml:space="preserve">总发电MWh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59697.080561119212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20487.817720410396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5029.7014746087543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41126.50792623814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4637.4088546132043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3756.3011722366923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126341.10768237649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40391.352878257763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25390.744294222888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5047.0290322756355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41099.945518455963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5468.798543222294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4429.7268200100571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111929.07172321226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46701.103057354871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21729.951254233823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5038.1700376401413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43589.053079988691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4201.460153776281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3403.1827245587874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117058.27742921753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44860.328077245715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24125.738236197092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5093.0524108189738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41156.02163473703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4974.4229420990259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4029.2825831002115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115235.1403589988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47360.433490664778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6541.7471259896192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5041.9875158915074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40564.572985518738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5677.5848319191227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4598.8437138544887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99508.741118064645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90198.138105788894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6771.2880511813037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5107.7113026692623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41086.80557341173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5547.0685950064862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4493.1255619552558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143163.94303305118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119409.56552583083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4205.6487685727861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5043.9306516619654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42554.27036744143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6281.1332289843067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5087.7179154772875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171213.41531350702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63332.788879667263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7237.7909907962239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5001.5940476625992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42715.448831637448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5408.5407882290901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4380.9180384655619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118287.62274976354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65276.643733469602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5745.3900859020277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5092.1269082524941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42571.056888933621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6343.2506134619207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5138.0329969041568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118685.21761655775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79455.602534345278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6998.0896224569551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5068.6723968953793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42188.094496349084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5844.5213160353587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4734.0622659886421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133710.45905004669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117504.92502211503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10315.558077875145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5058.3507705357961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43219.189014648116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5989.5941324953437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4851.5712473212279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176098.02288517408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79659.163660348437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23741.436045028637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5038.3533105012457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40994.683903162455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5440.1943107411907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4406.5573917003649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149433.63691904076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21988.364222196451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21637.935287646593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5082.8306279431781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43604.829668911516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5547.1568773566587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4493.1970706588909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92313.959806697734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17336.452400653165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19000.435272607752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5013.2872975152732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43421.624727371644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5430.5247270939026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4398.7250289460617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84771.799698147835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14215.81636973674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20115.951142787104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5060.4694639327263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43471.328227124308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4755.6063346361661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3852.0411310552954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82863.565203580889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9322.8341279348224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6520.8748137568427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5029.3565042893142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40840.1194187949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6700.9729725046709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5427.7881077287793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61713.184864775874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108982.14688912337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4487.7436561872446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5004.9015249379654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42191.878465224785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6245.6343972282348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5058.963861754869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160666.67053547336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68168.210224539871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23381.93170656851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5034.5446077504876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40819.7374996094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5128.5475708853401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4154.1235324171248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137404.42403846828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26214.451911140834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22146.71850238986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5027.2853504509822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42346.691848829047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4869.1979621618202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3944.0503493510769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95735.147612810717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31770.7880948003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15126.916950067223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5007.7359897257484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40791.043865741507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5665.7100017620824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4589.225101427287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92696.484900334777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7800.1734277362057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7111.5078588068382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5016.4828550396142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40868.491459756639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6561.3452702068307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5314.6896688675324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60796.655601339298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31586.812430109785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15740.040393164101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5058.801801702838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42784.220171778798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5051.9726145027798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4092.0978177472534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95169.874796755525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37143.378758018254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22393.401215145215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5049.6433939678836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41254.192848700106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5582.1906096391613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4521.5743938077203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105840.61621583145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109866.42999021232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6852.6049454487074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5029.1369672261935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42582.697474625078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6004.575671117138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4863.7062936048796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164330.86937751231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45678.728885712633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5891.7136032264498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5066.2401540594428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40572.73441086628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4312.7213361305112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3493.3042822657117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97209.417053864803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22037.964914154483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8180.4406426445594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4990.988925192245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41930.692687551877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6316.2482607534521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5116.1610912102988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77140.087169543171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13532.194584789089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10691.453850111011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5019.1724295619379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42281.260804395315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5337.2719413544482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4323.1902724971042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71524.081668857354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109437.7297252072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16203.124304050787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5047.8048314778744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43589.43375288754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5411.0137559126779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4382.9211422892713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174278.09261362339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43382.771252029626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16358.703835053939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5092.6894317700871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41020.436244802062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3813.6882297670018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3089.0874661112721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105854.6007636557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24012.121697697403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10733.673527959476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5019.0960101144028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41265.292051958502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5790.438356472333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4690.255068742591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81030.183287729786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7. 实验验收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3000"/>
        <w:gridCol w:w="2860"/>
        <w:gridCol w:w="1600"/>
      </w:tblGrid>
      <w:tr>
        <w:trPr>
          <w:tblHeader/>
          <w:cantSplit/>
        </w:trPr>
        <w:tc>
          <w:tcPr>
            <w:tcW w:w="1900" w:type="dxa"/>
            <w:shd w:fill="F2F4F7"/>
            <w:vAlign w:val="center"/>
          </w:tcPr>
          <w:p>
            <w:pPr>
              <w:pStyle w:val="TableHeader"/>
            </w:pPr>
            <w:r>
              <w:t xml:space="preserve">检查项</w:t>
            </w:r>
          </w:p>
        </w:tc>
        <w:tc>
          <w:tcPr>
            <w:tcW w:w="3000" w:type="dxa"/>
            <w:shd w:fill="F2F4F7"/>
            <w:vAlign w:val="center"/>
          </w:tcPr>
          <w:p>
            <w:pPr>
              <w:pStyle w:val="TableHeader"/>
            </w:pPr>
            <w:r>
              <w:t xml:space="preserve">要求</w:t>
            </w:r>
          </w:p>
        </w:tc>
        <w:tc>
          <w:tcPr>
            <w:tcW w:w="2860" w:type="dxa"/>
            <w:shd w:fill="F2F4F7"/>
            <w:vAlign w:val="center"/>
          </w:tcPr>
          <w:p>
            <w:pPr>
              <w:pStyle w:val="TableHeader"/>
            </w:pPr>
            <w:r>
              <w:t xml:space="preserve">实际值</w:t>
            </w:r>
          </w:p>
        </w:tc>
        <w:tc>
          <w:tcPr>
            <w:tcW w:w="1600" w:type="dxa"/>
            <w:shd w:fill="F2F4F7"/>
            <w:vAlign w:val="center"/>
          </w:tcPr>
          <w:p>
            <w:pPr>
              <w:pStyle w:val="TableHeader"/>
            </w:pPr>
            <w:r>
              <w:t xml:space="preserve">状态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EXP-DATA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120 water-input rows pass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120 rows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EXP-INDEX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15910/2642/31220 and reconstructed dimension 80992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15910/2642/31220; reconstructed=80992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EXP-ROUTE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recursive direction only; reconstructed KKT residual &lt;= 1e-10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audit=false; worst residual=1.1752538128386851e-11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EXP-FACTORS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30 daily LDL solves plus one 16-D core solve per iteration; no refactorization during residual correction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961 factor records; refinement triggers=5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EXP-WATER-CORRECTION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240 exact second-order water-slack corrections per iteration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7440 correction records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EXP-FIXED-ZERO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1804 removed renewable entries remain exact zero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1804 exact zeros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EXP-CONVERGENCE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four stopping metrics &lt;= 1e-6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converged=true; iterations=31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EXP-PHYSICAL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if converged, final water and Stage-A physical audit passes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passed=true; max water violation=0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本报告的PASS仅表示独立30日实验按配置完成，不替代也不改写正式第14—20日Stage B验收结论。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20260811_155000_stage_B_2C_30day_full_final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 B-2C · 第1—30日 | 运行 20260811_155000_stage_B_2C_30day_full_final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Calibri" w:hAnsi="Calibri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Calibri" w:hAnsi="Calibri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Calibri" w:hAnsi="Calibri" w:eastAsia="Microsoft YaHei"/>
      <w:color w:val="555555"/>
      <w:sz w:val="28"/>
      <w:szCs w:val="28"/>
    </w:rPr>
  </w:style>
  <w:style w:type="paragraph" w:styleId="MastheadKicker">
    <w:name w:val="Masthead Kicker"/>
    <w:basedOn w:val="Normal"/>
    <w:qFormat/>
    <w:pPr>
      <w:spacing w:before="0" w:after="60" w:line="240" w:lineRule="auto"/>
    </w:pPr>
    <w:rPr>
      <w:rFonts w:ascii="Calibri" w:hAnsi="Calibri" w:eastAsia="Microsoft YaHei"/>
      <w:b/>
      <w:bCs/>
      <w:color w:val="2E74B5"/>
      <w:sz w:val="19"/>
      <w:szCs w:val="19"/>
    </w:rPr>
  </w:style>
  <w:style w:type="paragraph" w:styleId="MastheadMetadata">
    <w:name w:val="Masthead Metadata"/>
    <w:basedOn w:val="Normal"/>
    <w:qFormat/>
    <w:pPr>
      <w:spacing w:before="0" w:after="40" w:line="252" w:lineRule="auto"/>
    </w:pPr>
    <w:rPr>
      <w:rFonts w:ascii="Calibri" w:hAnsi="Calibri" w:eastAsia="Microsoft YaHei"/>
      <w:color w:val="000000"/>
      <w:sz w:val="21"/>
      <w:szCs w:val="21"/>
    </w:rPr>
  </w:style>
  <w:style w:type="paragraph" w:styleId="MastheadSpacer">
    <w:name w:val="Masthead Spacer"/>
    <w:basedOn w:val="Normal"/>
    <w:qFormat/>
    <w:pPr>
      <w:spacing w:before="0" w:after="160" w:line="240" w:lineRule="auto"/>
    </w:pPr>
    <w:rPr>
      <w:rFonts w:ascii="Calibri" w:hAnsi="Calibri" w:eastAsia="Microsoft YaHei"/>
      <w:color w:val="FFFFFF"/>
      <w:sz w:val="4"/>
      <w:szCs w:val="4"/>
    </w:rPr>
  </w:style>
  <w:style w:type="paragraph" w:styleId="Heading1">
    <w:name w:val="Heading 1"/>
    <w:basedOn w:val="Normal"/>
    <w:qFormat/>
    <w:pPr>
      <w:keepNext/>
      <w:keepLines/>
      <w:spacing w:before="320" w:after="160" w:line="264" w:lineRule="auto"/>
    </w:pPr>
    <w:rPr>
      <w:rFonts w:ascii="Calibri" w:hAnsi="Calibri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40" w:after="120" w:line="264" w:lineRule="auto"/>
    </w:pPr>
    <w:rPr>
      <w:rFonts w:ascii="Calibri" w:hAnsi="Calibri" w:eastAsia="Microsoft YaHei"/>
      <w:b/>
      <w:bCs/>
      <w:color w:val="2E74B5"/>
      <w:sz w:val="26"/>
      <w:szCs w:val="26"/>
    </w:rPr>
  </w:style>
  <w:style w:type="paragraph" w:styleId="TableHeader">
    <w:name w:val="Table Header"/>
    <w:basedOn w:val="Normal"/>
    <w:qFormat/>
    <w:pPr>
      <w:keepNext/>
      <w:keepLines/>
      <w:spacing w:before="0" w:after="0" w:line="240" w:lineRule="auto"/>
    </w:pPr>
    <w:rPr>
      <w:rFonts w:ascii="Calibri" w:hAnsi="Calibri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Calibri" w:hAnsi="Calibri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Calibri" w:hAnsi="Calibri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Calibri" w:hAnsi="Calibri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Calibri" w:hAnsi="Calibri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Calibri" w:hAnsi="Calibri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Calibri" w:hAnsi="Calibri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stage_B_2C reporting</Application>
</Properties>
</file>

<file path=docProps/core.xml><?xml version="1.0" encoding="utf-8"?>
<cp:coreProperties xmlns:cp="http://schemas.openxmlformats.org/package/2006/metadata/core-properties" xmlns:dc="http://purl.org/dc/elements/1.1/">
  <dc:title>阶段B-2C：30日递推IPM实验报告</dc:title>
  <dc:creator>MATLAB stage_B_2C reporting</dc:creator>
</cp:coreProperties>
</file>