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PeopleLedger Business Proposal</w:t>
      </w:r>
    </w:p>
    <w:p>
      <w:pPr>
        <w:pStyle w:val="Subtitle"/>
      </w:pPr>
      <w:r>
        <w:t>Integrated HR and Finance Review Platform</w:t>
      </w:r>
    </w:p>
    <w:p>
      <w:r>
        <w:t>Prepared by the PeopleLedger Project Team</w:t>
        <w:br/>
        <w:t>For prospective business customers</w:t>
        <w:br/>
        <w:t>28 September 2026  |  Version 1.0</w:t>
      </w:r>
    </w:p>
    <w:p>
      <w:pPr>
        <w:pStyle w:val="Heading2"/>
      </w:pPr>
      <w:r>
        <w:t>Executive proposal</w:t>
      </w:r>
    </w:p>
    <w:p>
      <w:r>
        <w:t>We propose an eight-week controlled pilot of PeopleLedger to help your HR and finance teams review records, resolve differences and preserve the evidence behind approvals. The pilot would use one legal entity and an agreed set of historical review cases before any wider operational rollout.</w:t>
      </w:r>
    </w:p>
    <w:p>
      <w:r>
        <w:t>PeopleLedger brings payroll, ledger and bank records into a shared case. Reviewers can run defined checks, investigate unmatched transactions, create a report with source snapshots and complete separate finance, management and director approval stages. The resulting evidence package connects the approved report to the records used in the decision.</w:t>
      </w:r>
    </w:p>
    <w:p>
      <w:pPr>
        <w:pStyle w:val="Heading2"/>
      </w:pPr>
      <w:r>
        <w:t>Business value to test</w:t>
      </w:r>
    </w:p>
    <w:p>
      <w:pPr>
        <w:pStyle w:val="ListBullet"/>
      </w:pPr>
      <w:r>
        <w:t>Less time spent finding and assembling evidence across spreadsheets, attachments and separate approval messages.</w:t>
      </w:r>
    </w:p>
    <w:p>
      <w:pPr>
        <w:pStyle w:val="ListBullet"/>
      </w:pPr>
      <w:r>
        <w:t>Clearer ownership of unresolved items, with a visible review sequence and recorded decisions.</w:t>
      </w:r>
    </w:p>
    <w:p>
      <w:pPr>
        <w:pStyle w:val="ListBullet"/>
      </w:pPr>
      <w:r>
        <w:t>A stable record of the information reviewed, even when the working case changes later.</w:t>
      </w:r>
    </w:p>
    <w:p>
      <w:pPr>
        <w:pStyle w:val="Heading2"/>
      </w:pPr>
      <w:r>
        <w:t>The proposed commitment</w:t>
      </w:r>
    </w:p>
    <w:p>
      <w:r>
        <w:t>Start with a 45-minute demonstration and a short discovery workshop. Together, we would define the review problem, eligible data, pilot price and success measures. A signed pilot scope would then authorise a limited evaluation with named business owners. Expansion would depend on measured value and completion of the agreed readiness work.</w:t>
      </w:r>
    </w:p>
    <w:p>
      <w:r>
        <w:t>The current product is a working demonstration. Its financial checks, recruitment workflow and controlled assistant provide a basis for evaluation. Live Teams integration, a validated live AI service and enterprise operating arrangements remain separate delivery work. The pilot will establish suitability for your organisation; customer time savings have not yet been measured.</w:t>
      </w:r>
    </w:p>
    <w:p>
      <w:pPr>
        <w:spacing w:after="140"/>
      </w:pPr>
      <w:hyperlink r:id="rId10">
        <w:r>
          <w:rPr>
            <w:color w:val="174B73"/>
            <w:sz w:val="19"/>
          </w:rPr>
          <w:t>View the English product demonstration</w:t>
        </w:r>
      </w:hyperlink>
    </w:p>
    <w:p>
      <w:r>
        <w:br w:type="page"/>
      </w:r>
    </w:p>
    <w:p>
      <w:pPr>
        <w:pStyle w:val="Heading1"/>
      </w:pPr>
      <w:r>
        <w:t>1 Customer need and business fit</w:t>
      </w:r>
    </w:p>
    <w:p>
      <w:r>
        <w:t>The strongest initial use case is a recurring review that crosses HR and finance: payroll support, selected payment checks, bank reconciliation and preparation of evidence for management review. PeopleLedger is intended to work alongside your payroll and accounting systems, using agreed imports and preserving their ownership of the underlying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664"/>
        <w:gridCol w:w="3816"/>
        <w:gridCol w:w="3686"/>
      </w:tblGrid>
      <w:tr>
        <w:trPr>
          <w:cantSplit/>
          <w:tblHeader/>
        </w:trPr>
        <w:tc>
          <w:tcPr>
            <w:tcW w:type="dxa" w:w="2664"/>
            <w:vAlign w:val="center"/>
            <w:shd w:fill="213F59"/>
          </w:tcPr>
          <w:p>
            <w:pPr>
              <w:keepNext w:val="0"/>
              <w:spacing w:after="0" w:line="252" w:lineRule="auto"/>
            </w:pPr>
            <w:r>
              <w:rPr>
                <w:rFonts w:ascii="Segoe UI" w:hAnsi="Segoe UI"/>
                <w:b/>
                <w:color w:val="FFFFFF"/>
                <w:sz w:val="19"/>
              </w:rPr>
              <w:t>Customer difficulty</w:t>
            </w:r>
          </w:p>
        </w:tc>
        <w:tc>
          <w:tcPr>
            <w:tcW w:type="dxa" w:w="3816"/>
            <w:vAlign w:val="center"/>
            <w:shd w:fill="213F59"/>
          </w:tcPr>
          <w:p>
            <w:pPr>
              <w:keepNext w:val="0"/>
              <w:spacing w:after="0" w:line="252" w:lineRule="auto"/>
            </w:pPr>
            <w:r>
              <w:rPr>
                <w:rFonts w:ascii="Segoe UI" w:hAnsi="Segoe UI"/>
                <w:b/>
                <w:color w:val="FFFFFF"/>
                <w:sz w:val="19"/>
              </w:rPr>
              <w:t>Proposed value</w:t>
            </w:r>
          </w:p>
        </w:tc>
        <w:tc>
          <w:tcPr>
            <w:tcW w:type="dxa" w:w="3686"/>
            <w:vAlign w:val="center"/>
            <w:shd w:fill="213F59"/>
          </w:tcPr>
          <w:p>
            <w:pPr>
              <w:keepNext w:val="0"/>
              <w:spacing w:after="0" w:line="252" w:lineRule="auto"/>
            </w:pPr>
            <w:r>
              <w:rPr>
                <w:rFonts w:ascii="Segoe UI" w:hAnsi="Segoe UI"/>
                <w:b/>
                <w:color w:val="FFFFFF"/>
                <w:sz w:val="19"/>
              </w:rPr>
              <w:t>How to assess it</w:t>
            </w:r>
          </w:p>
        </w:tc>
      </w:tr>
      <w:tr>
        <w:trPr>
          <w:cantSplit/>
        </w:trPr>
        <w:tc>
          <w:tcPr>
            <w:tcW w:type="dxa" w:w="2664"/>
            <w:vAlign w:val="center"/>
            <w:shd w:fill="FFFFFF"/>
          </w:tcPr>
          <w:p>
            <w:pPr>
              <w:keepNext w:val="0"/>
              <w:spacing w:after="0" w:line="252" w:lineRule="auto"/>
            </w:pPr>
            <w:r>
              <w:rPr>
                <w:rFonts w:ascii="Segoe UI" w:hAnsi="Segoe UI"/>
                <w:b w:val="0"/>
                <w:color w:val="17212B"/>
                <w:sz w:val="19"/>
              </w:rPr>
              <w:t>Evidence is spread across files and messages.</w:t>
            </w:r>
          </w:p>
        </w:tc>
        <w:tc>
          <w:tcPr>
            <w:tcW w:type="dxa" w:w="3816"/>
            <w:vAlign w:val="center"/>
            <w:shd w:fill="FFFFFF"/>
          </w:tcPr>
          <w:p>
            <w:pPr>
              <w:keepNext w:val="0"/>
              <w:spacing w:after="0" w:line="252" w:lineRule="auto"/>
            </w:pPr>
            <w:r>
              <w:rPr>
                <w:rFonts w:ascii="Segoe UI" w:hAnsi="Segoe UI"/>
                <w:b w:val="0"/>
                <w:color w:val="17212B"/>
                <w:sz w:val="19"/>
              </w:rPr>
              <w:t>Link source records and supporting files to one review case.</w:t>
            </w:r>
          </w:p>
        </w:tc>
        <w:tc>
          <w:tcPr>
            <w:tcW w:type="dxa" w:w="3686"/>
            <w:vAlign w:val="center"/>
            <w:shd w:fill="FFFFFF"/>
          </w:tcPr>
          <w:p>
            <w:pPr>
              <w:keepNext w:val="0"/>
              <w:spacing w:after="0" w:line="252" w:lineRule="auto"/>
            </w:pPr>
            <w:r>
              <w:rPr>
                <w:rFonts w:ascii="Segoe UI" w:hAnsi="Segoe UI"/>
                <w:b w:val="0"/>
                <w:color w:val="17212B"/>
                <w:sz w:val="19"/>
              </w:rPr>
              <w:t>Time needed to retrieve a requested document and identify its report version.</w:t>
            </w:r>
          </w:p>
        </w:tc>
      </w:tr>
      <w:tr>
        <w:trPr>
          <w:cantSplit/>
        </w:trPr>
        <w:tc>
          <w:tcPr>
            <w:tcW w:type="dxa" w:w="2664"/>
            <w:vAlign w:val="center"/>
            <w:shd w:fill="F0F4F7"/>
          </w:tcPr>
          <w:p>
            <w:pPr>
              <w:keepNext w:val="0"/>
              <w:spacing w:after="0" w:line="252" w:lineRule="auto"/>
            </w:pPr>
            <w:r>
              <w:rPr>
                <w:rFonts w:ascii="Segoe UI" w:hAnsi="Segoe UI"/>
                <w:b w:val="0"/>
                <w:color w:val="17212B"/>
                <w:sz w:val="19"/>
              </w:rPr>
              <w:t>Teams compare payroll, ledger and bank data manually.</w:t>
            </w:r>
          </w:p>
        </w:tc>
        <w:tc>
          <w:tcPr>
            <w:tcW w:type="dxa" w:w="3816"/>
            <w:vAlign w:val="center"/>
            <w:shd w:fill="F0F4F7"/>
          </w:tcPr>
          <w:p>
            <w:pPr>
              <w:keepNext w:val="0"/>
              <w:spacing w:after="0" w:line="252" w:lineRule="auto"/>
            </w:pPr>
            <w:r>
              <w:rPr>
                <w:rFonts w:ascii="Segoe UI" w:hAnsi="Segoe UI"/>
                <w:b w:val="0"/>
                <w:color w:val="17212B"/>
                <w:sz w:val="19"/>
              </w:rPr>
              <w:t>Apply repeatable checks and explicit one-to-one reconciliation.</w:t>
            </w:r>
          </w:p>
        </w:tc>
        <w:tc>
          <w:tcPr>
            <w:tcW w:type="dxa" w:w="3686"/>
            <w:vAlign w:val="center"/>
            <w:shd w:fill="F0F4F7"/>
          </w:tcPr>
          <w:p>
            <w:pPr>
              <w:keepNext w:val="0"/>
              <w:spacing w:after="0" w:line="252" w:lineRule="auto"/>
            </w:pPr>
            <w:r>
              <w:rPr>
                <w:rFonts w:ascii="Segoe UI" w:hAnsi="Segoe UI"/>
                <w:b w:val="0"/>
                <w:color w:val="17212B"/>
                <w:sz w:val="19"/>
              </w:rPr>
              <w:t>Preparation time, unmatched items and the effort needed to resolve them.</w:t>
            </w:r>
          </w:p>
        </w:tc>
      </w:tr>
      <w:tr>
        <w:trPr>
          <w:cantSplit/>
        </w:trPr>
        <w:tc>
          <w:tcPr>
            <w:tcW w:type="dxa" w:w="2664"/>
            <w:vAlign w:val="center"/>
            <w:shd w:fill="FFFFFF"/>
          </w:tcPr>
          <w:p>
            <w:pPr>
              <w:keepNext w:val="0"/>
              <w:spacing w:after="0" w:line="252" w:lineRule="auto"/>
            </w:pPr>
            <w:r>
              <w:rPr>
                <w:rFonts w:ascii="Segoe UI" w:hAnsi="Segoe UI"/>
                <w:b w:val="0"/>
                <w:color w:val="17212B"/>
                <w:sz w:val="19"/>
              </w:rPr>
              <w:t>Approvals continue after the underlying figures change.</w:t>
            </w:r>
          </w:p>
        </w:tc>
        <w:tc>
          <w:tcPr>
            <w:tcW w:type="dxa" w:w="3816"/>
            <w:vAlign w:val="center"/>
            <w:shd w:fill="FFFFFF"/>
          </w:tcPr>
          <w:p>
            <w:pPr>
              <w:keepNext w:val="0"/>
              <w:spacing w:after="0" w:line="252" w:lineRule="auto"/>
            </w:pPr>
            <w:r>
              <w:rPr>
                <w:rFonts w:ascii="Segoe UI" w:hAnsi="Segoe UI"/>
                <w:b w:val="0"/>
                <w:color w:val="17212B"/>
                <w:sz w:val="19"/>
              </w:rPr>
              <w:t>Preserve report snapshots and require review of changed work.</w:t>
            </w:r>
          </w:p>
        </w:tc>
        <w:tc>
          <w:tcPr>
            <w:tcW w:type="dxa" w:w="3686"/>
            <w:vAlign w:val="center"/>
            <w:shd w:fill="FFFFFF"/>
          </w:tcPr>
          <w:p>
            <w:pPr>
              <w:keepNext w:val="0"/>
              <w:spacing w:after="0" w:line="252" w:lineRule="auto"/>
            </w:pPr>
            <w:r>
              <w:rPr>
                <w:rFonts w:ascii="Segoe UI" w:hAnsi="Segoe UI"/>
                <w:b w:val="0"/>
                <w:color w:val="17212B"/>
                <w:sz w:val="19"/>
              </w:rPr>
              <w:t>Whether historical reports remain reproducible and changes trigger the expected review.</w:t>
            </w:r>
          </w:p>
        </w:tc>
      </w:tr>
      <w:tr>
        <w:trPr>
          <w:cantSplit/>
        </w:trPr>
        <w:tc>
          <w:tcPr>
            <w:tcW w:type="dxa" w:w="2664"/>
            <w:vAlign w:val="center"/>
            <w:shd w:fill="F0F4F7"/>
          </w:tcPr>
          <w:p>
            <w:pPr>
              <w:keepNext w:val="0"/>
              <w:spacing w:after="0" w:line="252" w:lineRule="auto"/>
            </w:pPr>
            <w:r>
              <w:rPr>
                <w:rFonts w:ascii="Segoe UI" w:hAnsi="Segoe UI"/>
                <w:b w:val="0"/>
                <w:color w:val="17212B"/>
                <w:sz w:val="19"/>
              </w:rPr>
              <w:t>Responsibility is unclear across departments.</w:t>
            </w:r>
          </w:p>
        </w:tc>
        <w:tc>
          <w:tcPr>
            <w:tcW w:type="dxa" w:w="3816"/>
            <w:vAlign w:val="center"/>
            <w:shd w:fill="F0F4F7"/>
          </w:tcPr>
          <w:p>
            <w:pPr>
              <w:keepNext w:val="0"/>
              <w:spacing w:after="0" w:line="252" w:lineRule="auto"/>
            </w:pPr>
            <w:r>
              <w:rPr>
                <w:rFonts w:ascii="Segoe UI" w:hAnsi="Segoe UI"/>
                <w:b w:val="0"/>
                <w:color w:val="17212B"/>
                <w:sz w:val="19"/>
              </w:rPr>
              <w:t>Record separate preparation, review and approval decisions.</w:t>
            </w:r>
          </w:p>
        </w:tc>
        <w:tc>
          <w:tcPr>
            <w:tcW w:type="dxa" w:w="3686"/>
            <w:vAlign w:val="center"/>
            <w:shd w:fill="F0F4F7"/>
          </w:tcPr>
          <w:p>
            <w:pPr>
              <w:keepNext w:val="0"/>
              <w:spacing w:after="0" w:line="252" w:lineRule="auto"/>
            </w:pPr>
            <w:r>
              <w:rPr>
                <w:rFonts w:ascii="Segoe UI" w:hAnsi="Segoe UI"/>
                <w:b w:val="0"/>
                <w:color w:val="17212B"/>
                <w:sz w:val="19"/>
              </w:rPr>
              <w:t>Completeness of the decision trail and attempts to bypass required stages.</w:t>
            </w:r>
          </w:p>
        </w:tc>
      </w:tr>
    </w:tbl>
    <w:p>
      <w:pPr>
        <w:spacing w:after="20"/>
      </w:pPr>
    </w:p>
    <w:p>
      <w:pPr>
        <w:pStyle w:val="Heading2"/>
      </w:pPr>
      <w:r>
        <w:t>Who should consider a pilot</w:t>
      </w:r>
    </w:p>
    <w:p>
      <w:r>
        <w:t>We would initially engage Singapore businesses whose finance lead and HR lead share a recurring evidence problem and can supply structured SGD records. A suitable customer has a named sponsor, distinct reviewers and a manageable starting scope. Record volume, file size and performance requirements must be confirmed in discovery.</w:t>
      </w:r>
    </w:p>
    <w:p>
      <w:r>
        <w:t>The finance controller or CFO would normally sponsor the business case. HR would own employee-related inputs. IT and the data protection officer would review the proposed data handling, while management would confirm who may approve the resulting reports.</w:t>
      </w:r>
    </w:p>
    <w:p>
      <w:pPr>
        <w:pStyle w:val="Heading2"/>
      </w:pPr>
      <w:r>
        <w:t>Why the records matter</w:t>
      </w:r>
    </w:p>
    <w:p>
      <w:r>
        <w:t>MOM requires employment records for employees covered by the Employment Act. ACRA guidance places responsibility for financial reporting and proper records with directors. PDPC guidance includes accountability and retention obligations. These requirements explain the importance of organised records and accountable decisions; they do not constitute an endorsement of PeopleLedger. [1-3]</w:t>
      </w:r>
    </w:p>
    <w:p>
      <w:r>
        <w:br w:type="page"/>
      </w:r>
    </w:p>
    <w:p>
      <w:pPr>
        <w:pStyle w:val="Heading1"/>
      </w:pPr>
      <w:r>
        <w:t>2 What the customer would experience</w:t>
      </w:r>
    </w:p>
    <w:p>
      <w:pPr>
        <w:pStyle w:val="Heading2"/>
      </w:pPr>
      <w:r>
        <w:t>Prepare a review case</w:t>
      </w:r>
    </w:p>
    <w:p>
      <w:r>
        <w:t>The preparer imports payroll, ledger and bank data using supported CSV or spreadsheet formats, previews the records and attaches supporting files. Import validation identifies unsupported or invalid inputs before the reviewer relies on them. The demonstration operates in Singapore dollars.</w:t>
      </w:r>
    </w:p>
    <w:p>
      <w:pPr>
        <w:pStyle w:val="Heading2"/>
      </w:pPr>
      <w:r>
        <w:t>Investigate differences</w:t>
      </w:r>
    </w:p>
    <w:p>
      <w:r>
        <w:t>Defined rules produce findings that a reviewer can examine. Bank reconciliation compares references, amounts and transaction directions using one-to-one matching. Unmatched records remain visible for investigation. Document files can be retained as evidence, while a person reviews their contents.</w:t>
      </w:r>
    </w:p>
    <w:p>
      <w:pPr>
        <w:pStyle w:val="Heading2"/>
      </w:pPr>
      <w:r>
        <w:t>Review and approve a specific report</w:t>
      </w:r>
    </w:p>
    <w:p>
      <w:r>
        <w:t>A report preserves the source records, reconciliation results, relevant rules and evidence references used in that review. Submission, finance review, management confirmation and director approval require separate actors. The server checks the sequence and the permissions for each action.</w:t>
      </w:r>
    </w:p>
    <w:p>
      <w:pPr>
        <w:pStyle w:val="Heading2"/>
      </w:pPr>
      <w:r>
        <w:t>Retain and share the review outcome</w:t>
      </w:r>
    </w:p>
    <w:p>
      <w:r>
        <w:t>An authorised user seals the approved report and exports its associated evidence package. File versions and recorded hashes support later comparison of the file bytes. The activity trail connects the actions to users and report versions. Professional judgment remains with the responsible reviewers.</w:t>
      </w:r>
    </w:p>
    <w:p>
      <w:pPr>
        <w:pStyle w:val="Heading2"/>
      </w:pPr>
      <w:r>
        <w:t>What makes the approach useful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952"/>
        <w:gridCol w:w="7214"/>
      </w:tblGrid>
      <w:tr>
        <w:trPr>
          <w:cantSplit/>
          <w:tblHeader/>
        </w:trPr>
        <w:tc>
          <w:tcPr>
            <w:tcW w:type="dxa" w:w="2952"/>
            <w:vAlign w:val="center"/>
            <w:shd w:fill="213F59"/>
          </w:tcPr>
          <w:p>
            <w:pPr>
              <w:keepNext w:val="0"/>
              <w:spacing w:after="0" w:line="252" w:lineRule="auto"/>
            </w:pPr>
            <w:r>
              <w:rPr>
                <w:rFonts w:ascii="Segoe UI" w:hAnsi="Segoe UI"/>
                <w:b/>
                <w:color w:val="FFFFFF"/>
                <w:sz w:val="19"/>
              </w:rPr>
              <w:t>Capability</w:t>
            </w:r>
          </w:p>
        </w:tc>
        <w:tc>
          <w:tcPr>
            <w:tcW w:type="dxa" w:w="7214"/>
            <w:vAlign w:val="center"/>
            <w:shd w:fill="213F59"/>
          </w:tcPr>
          <w:p>
            <w:pPr>
              <w:keepNext w:val="0"/>
              <w:spacing w:after="0" w:line="252" w:lineRule="auto"/>
            </w:pPr>
            <w:r>
              <w:rPr>
                <w:rFonts w:ascii="Segoe UI" w:hAnsi="Segoe UI"/>
                <w:b/>
                <w:color w:val="FFFFFF"/>
                <w:sz w:val="19"/>
              </w:rPr>
              <w:t>Practical consequence for the customer</w:t>
            </w:r>
          </w:p>
        </w:tc>
      </w:tr>
      <w:tr>
        <w:trPr>
          <w:cantSplit/>
        </w:trPr>
        <w:tc>
          <w:tcPr>
            <w:tcW w:type="dxa" w:w="2952"/>
            <w:vAlign w:val="center"/>
            <w:shd w:fill="FFFFFF"/>
          </w:tcPr>
          <w:p>
            <w:pPr>
              <w:keepNext w:val="0"/>
              <w:spacing w:after="0" w:line="252" w:lineRule="auto"/>
            </w:pPr>
            <w:r>
              <w:rPr>
                <w:rFonts w:ascii="Segoe UI" w:hAnsi="Segoe UI"/>
                <w:b w:val="0"/>
                <w:color w:val="17212B"/>
                <w:sz w:val="19"/>
              </w:rPr>
              <w:t>A case that spans HR and finance</w:t>
            </w:r>
          </w:p>
        </w:tc>
        <w:tc>
          <w:tcPr>
            <w:tcW w:type="dxa" w:w="7214"/>
            <w:vAlign w:val="center"/>
            <w:shd w:fill="FFFFFF"/>
          </w:tcPr>
          <w:p>
            <w:pPr>
              <w:keepNext w:val="0"/>
              <w:spacing w:after="0" w:line="252" w:lineRule="auto"/>
            </w:pPr>
            <w:r>
              <w:rPr>
                <w:rFonts w:ascii="Segoe UI" w:hAnsi="Segoe UI"/>
                <w:b w:val="0"/>
                <w:color w:val="17212B"/>
                <w:sz w:val="19"/>
              </w:rPr>
              <w:t>Colleagues review related inputs in a common process without replacing their source systems.</w:t>
            </w:r>
          </w:p>
        </w:tc>
      </w:tr>
      <w:tr>
        <w:trPr>
          <w:cantSplit/>
        </w:trPr>
        <w:tc>
          <w:tcPr>
            <w:tcW w:type="dxa" w:w="2952"/>
            <w:vAlign w:val="center"/>
            <w:shd w:fill="F0F4F7"/>
          </w:tcPr>
          <w:p>
            <w:pPr>
              <w:keepNext w:val="0"/>
              <w:spacing w:after="0" w:line="252" w:lineRule="auto"/>
            </w:pPr>
            <w:r>
              <w:rPr>
                <w:rFonts w:ascii="Segoe UI" w:hAnsi="Segoe UI"/>
                <w:b w:val="0"/>
                <w:color w:val="17212B"/>
                <w:sz w:val="19"/>
              </w:rPr>
              <w:t>Snapshots linked to approvals</w:t>
            </w:r>
          </w:p>
        </w:tc>
        <w:tc>
          <w:tcPr>
            <w:tcW w:type="dxa" w:w="7214"/>
            <w:vAlign w:val="center"/>
            <w:shd w:fill="F0F4F7"/>
          </w:tcPr>
          <w:p>
            <w:pPr>
              <w:keepNext w:val="0"/>
              <w:spacing w:after="0" w:line="252" w:lineRule="auto"/>
            </w:pPr>
            <w:r>
              <w:rPr>
                <w:rFonts w:ascii="Segoe UI" w:hAnsi="Segoe UI"/>
                <w:b w:val="0"/>
                <w:color w:val="17212B"/>
                <w:sz w:val="19"/>
              </w:rPr>
              <w:t>An earlier report keeps the information that supported its decision.</w:t>
            </w:r>
          </w:p>
        </w:tc>
      </w:tr>
      <w:tr>
        <w:trPr>
          <w:cantSplit/>
        </w:trPr>
        <w:tc>
          <w:tcPr>
            <w:tcW w:type="dxa" w:w="2952"/>
            <w:vAlign w:val="center"/>
            <w:shd w:fill="FFFFFF"/>
          </w:tcPr>
          <w:p>
            <w:pPr>
              <w:keepNext w:val="0"/>
              <w:spacing w:after="0" w:line="252" w:lineRule="auto"/>
            </w:pPr>
            <w:r>
              <w:rPr>
                <w:rFonts w:ascii="Segoe UI" w:hAnsi="Segoe UI"/>
                <w:b w:val="0"/>
                <w:color w:val="17212B"/>
                <w:sz w:val="19"/>
              </w:rPr>
              <w:t>Separate decision stages</w:t>
            </w:r>
          </w:p>
        </w:tc>
        <w:tc>
          <w:tcPr>
            <w:tcW w:type="dxa" w:w="7214"/>
            <w:vAlign w:val="center"/>
            <w:shd w:fill="FFFFFF"/>
          </w:tcPr>
          <w:p>
            <w:pPr>
              <w:keepNext w:val="0"/>
              <w:spacing w:after="0" w:line="252" w:lineRule="auto"/>
            </w:pPr>
            <w:r>
              <w:rPr>
                <w:rFonts w:ascii="Segoe UI" w:hAnsi="Segoe UI"/>
                <w:b w:val="0"/>
                <w:color w:val="17212B"/>
                <w:sz w:val="19"/>
              </w:rPr>
              <w:t>Preparation and approval responsibilities are enforced by the application.</w:t>
            </w:r>
          </w:p>
        </w:tc>
      </w:tr>
      <w:tr>
        <w:trPr>
          <w:cantSplit/>
        </w:trPr>
        <w:tc>
          <w:tcPr>
            <w:tcW w:type="dxa" w:w="2952"/>
            <w:vAlign w:val="center"/>
            <w:shd w:fill="F0F4F7"/>
          </w:tcPr>
          <w:p>
            <w:pPr>
              <w:keepNext w:val="0"/>
              <w:spacing w:after="0" w:line="252" w:lineRule="auto"/>
            </w:pPr>
            <w:r>
              <w:rPr>
                <w:rFonts w:ascii="Segoe UI" w:hAnsi="Segoe UI"/>
                <w:b w:val="0"/>
                <w:color w:val="17212B"/>
                <w:sz w:val="19"/>
              </w:rPr>
              <w:t>Versioned evidence and export</w:t>
            </w:r>
          </w:p>
        </w:tc>
        <w:tc>
          <w:tcPr>
            <w:tcW w:type="dxa" w:w="7214"/>
            <w:vAlign w:val="center"/>
            <w:shd w:fill="F0F4F7"/>
          </w:tcPr>
          <w:p>
            <w:pPr>
              <w:keepNext w:val="0"/>
              <w:spacing w:after="0" w:line="252" w:lineRule="auto"/>
            </w:pPr>
            <w:r>
              <w:rPr>
                <w:rFonts w:ascii="Segoe UI" w:hAnsi="Segoe UI"/>
                <w:b w:val="0"/>
                <w:color w:val="17212B"/>
                <w:sz w:val="19"/>
              </w:rPr>
              <w:t>Reviewers can retrieve the supporting files associated with a particular outcome.</w:t>
            </w:r>
          </w:p>
        </w:tc>
      </w:tr>
    </w:tbl>
    <w:p>
      <w:pPr>
        <w:spacing w:after="20"/>
      </w:pPr>
    </w:p>
    <w:p>
      <w:r>
        <w:t>During the demonstration, ask us to change a working record after creating a report, attempt an approval out of sequence and retrieve a historical evidence package. These scenarios make the proposed value observable. [4]</w:t>
      </w:r>
    </w:p>
    <w:p>
      <w:r>
        <w:br w:type="page"/>
      </w:r>
    </w:p>
    <w:p>
      <w:pPr>
        <w:pStyle w:val="Heading1"/>
      </w:pPr>
      <w:r>
        <w:t>3 Product availability and delivery scope</w:t>
      </w:r>
    </w:p>
    <w:p>
      <w:r>
        <w:t>The offer begins with the demonstrated review workflow. The table separates current capability from work that needs to be specified and validated for an operational customer deployment. [4-5]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1771"/>
        <w:gridCol w:w="4118"/>
        <w:gridCol w:w="4277"/>
      </w:tblGrid>
      <w:tr>
        <w:trPr>
          <w:cantSplit/>
          <w:tblHeader/>
        </w:trPr>
        <w:tc>
          <w:tcPr>
            <w:tcW w:type="dxa" w:w="1771"/>
            <w:vAlign w:val="center"/>
            <w:shd w:fill="213F59"/>
          </w:tcPr>
          <w:p>
            <w:pPr>
              <w:keepNext w:val="0"/>
              <w:spacing w:after="0" w:line="252" w:lineRule="auto"/>
            </w:pPr>
            <w:r>
              <w:rPr>
                <w:rFonts w:ascii="Segoe UI" w:hAnsi="Segoe UI"/>
                <w:b/>
                <w:color w:val="FFFFFF"/>
                <w:sz w:val="18"/>
              </w:rPr>
              <w:t>Area</w:t>
            </w:r>
          </w:p>
        </w:tc>
        <w:tc>
          <w:tcPr>
            <w:tcW w:type="dxa" w:w="4118"/>
            <w:vAlign w:val="center"/>
            <w:shd w:fill="213F59"/>
          </w:tcPr>
          <w:p>
            <w:pPr>
              <w:keepNext w:val="0"/>
              <w:spacing w:after="0" w:line="252" w:lineRule="auto"/>
            </w:pPr>
            <w:r>
              <w:rPr>
                <w:rFonts w:ascii="Segoe UI" w:hAnsi="Segoe UI"/>
                <w:b/>
                <w:color w:val="FFFFFF"/>
                <w:sz w:val="18"/>
              </w:rPr>
              <w:t>Current demonstration</w:t>
            </w:r>
          </w:p>
        </w:tc>
        <w:tc>
          <w:tcPr>
            <w:tcW w:type="dxa" w:w="4277"/>
            <w:vAlign w:val="center"/>
            <w:shd w:fill="213F59"/>
          </w:tcPr>
          <w:p>
            <w:pPr>
              <w:keepNext w:val="0"/>
              <w:spacing w:after="0" w:line="252" w:lineRule="auto"/>
            </w:pPr>
            <w:r>
              <w:rPr>
                <w:rFonts w:ascii="Segoe UI" w:hAnsi="Segoe UI"/>
                <w:b/>
                <w:color w:val="FFFFFF"/>
                <w:sz w:val="18"/>
              </w:rPr>
              <w:t>Pilot or later delivery work</w:t>
            </w:r>
          </w:p>
        </w:tc>
      </w:tr>
      <w:tr>
        <w:trPr>
          <w:cantSplit/>
        </w:trPr>
        <w:tc>
          <w:tcPr>
            <w:tcW w:type="dxa" w:w="1771"/>
            <w:vAlign w:val="center"/>
            <w:shd w:fill="FFFFFF"/>
          </w:tcPr>
          <w:p>
            <w:pPr>
              <w:keepNext w:val="0"/>
              <w:spacing w:after="0" w:line="252" w:lineRule="auto"/>
            </w:pPr>
            <w:r>
              <w:rPr>
                <w:rFonts w:ascii="Segoe UI" w:hAnsi="Segoe UI"/>
                <w:b w:val="0"/>
                <w:color w:val="17212B"/>
                <w:sz w:val="18"/>
              </w:rPr>
              <w:t>Imports and checks</w:t>
            </w:r>
          </w:p>
        </w:tc>
        <w:tc>
          <w:tcPr>
            <w:tcW w:type="dxa" w:w="4118"/>
            <w:vAlign w:val="center"/>
            <w:shd w:fill="FFFFFF"/>
          </w:tcPr>
          <w:p>
            <w:pPr>
              <w:keepNext w:val="0"/>
              <w:spacing w:after="0" w:line="252" w:lineRule="auto"/>
            </w:pPr>
            <w:r>
              <w:rPr>
                <w:rFonts w:ascii="Segoe UI" w:hAnsi="Segoe UI"/>
                <w:b w:val="0"/>
                <w:color w:val="17212B"/>
                <w:sz w:val="18"/>
              </w:rPr>
              <w:t>Supported CSV and spreadsheet imports; demonstration rules; SGD records.</w:t>
            </w:r>
          </w:p>
        </w:tc>
        <w:tc>
          <w:tcPr>
            <w:tcW w:type="dxa" w:w="4277"/>
            <w:vAlign w:val="center"/>
            <w:shd w:fill="FFFFFF"/>
          </w:tcPr>
          <w:p>
            <w:pPr>
              <w:keepNext w:val="0"/>
              <w:spacing w:after="0" w:line="252" w:lineRule="auto"/>
            </w:pPr>
            <w:r>
              <w:rPr>
                <w:rFonts w:ascii="Segoe UI" w:hAnsi="Segoe UI"/>
                <w:b w:val="0"/>
                <w:color w:val="17212B"/>
                <w:sz w:val="18"/>
              </w:rPr>
              <w:t>Map customer files, validate rule definitions and agree record volumes.</w:t>
            </w:r>
          </w:p>
        </w:tc>
      </w:tr>
      <w:tr>
        <w:trPr>
          <w:cantSplit/>
        </w:trPr>
        <w:tc>
          <w:tcPr>
            <w:tcW w:type="dxa" w:w="1771"/>
            <w:vAlign w:val="center"/>
            <w:shd w:fill="F0F4F7"/>
          </w:tcPr>
          <w:p>
            <w:pPr>
              <w:keepNext w:val="0"/>
              <w:spacing w:after="0" w:line="252" w:lineRule="auto"/>
            </w:pPr>
            <w:r>
              <w:rPr>
                <w:rFonts w:ascii="Segoe UI" w:hAnsi="Segoe UI"/>
                <w:b w:val="0"/>
                <w:color w:val="17212B"/>
                <w:sz w:val="18"/>
              </w:rPr>
              <w:t>Reconciliation and approvals</w:t>
            </w:r>
          </w:p>
        </w:tc>
        <w:tc>
          <w:tcPr>
            <w:tcW w:type="dxa" w:w="4118"/>
            <w:vAlign w:val="center"/>
            <w:shd w:fill="F0F4F7"/>
          </w:tcPr>
          <w:p>
            <w:pPr>
              <w:keepNext w:val="0"/>
              <w:spacing w:after="0" w:line="252" w:lineRule="auto"/>
            </w:pPr>
            <w:r>
              <w:rPr>
                <w:rFonts w:ascii="Segoe UI" w:hAnsi="Segoe UI"/>
                <w:b w:val="0"/>
                <w:color w:val="17212B"/>
                <w:sz w:val="18"/>
              </w:rPr>
              <w:t>Explicit one-to-one matching, report snapshots and separate approval actors.</w:t>
            </w:r>
          </w:p>
        </w:tc>
        <w:tc>
          <w:tcPr>
            <w:tcW w:type="dxa" w:w="4277"/>
            <w:vAlign w:val="center"/>
            <w:shd w:fill="F0F4F7"/>
          </w:tcPr>
          <w:p>
            <w:pPr>
              <w:keepNext w:val="0"/>
              <w:spacing w:after="0" w:line="252" w:lineRule="auto"/>
            </w:pPr>
            <w:r>
              <w:rPr>
                <w:rFonts w:ascii="Segoe UI" w:hAnsi="Segoe UI"/>
                <w:b w:val="0"/>
                <w:color w:val="17212B"/>
                <w:sz w:val="18"/>
              </w:rPr>
              <w:t>Confirm the customer approval matrix and test positive and negative scenarios.</w:t>
            </w:r>
          </w:p>
        </w:tc>
      </w:tr>
      <w:tr>
        <w:trPr>
          <w:cantSplit/>
        </w:trPr>
        <w:tc>
          <w:tcPr>
            <w:tcW w:type="dxa" w:w="1771"/>
            <w:vAlign w:val="center"/>
            <w:shd w:fill="FFFFFF"/>
          </w:tcPr>
          <w:p>
            <w:pPr>
              <w:keepNext w:val="0"/>
              <w:spacing w:after="0" w:line="252" w:lineRule="auto"/>
            </w:pPr>
            <w:r>
              <w:rPr>
                <w:rFonts w:ascii="Segoe UI" w:hAnsi="Segoe UI"/>
                <w:b w:val="0"/>
                <w:color w:val="17212B"/>
                <w:sz w:val="18"/>
              </w:rPr>
              <w:t>Evidence and access</w:t>
            </w:r>
          </w:p>
        </w:tc>
        <w:tc>
          <w:tcPr>
            <w:tcW w:type="dxa" w:w="4118"/>
            <w:vAlign w:val="center"/>
            <w:shd w:fill="FFFFFF"/>
          </w:tcPr>
          <w:p>
            <w:pPr>
              <w:keepNext w:val="0"/>
              <w:spacing w:after="0" w:line="252" w:lineRule="auto"/>
            </w:pPr>
            <w:r>
              <w:rPr>
                <w:rFonts w:ascii="Segoe UI" w:hAnsi="Segoe UI"/>
                <w:b w:val="0"/>
                <w:color w:val="17212B"/>
                <w:sz w:val="18"/>
              </w:rPr>
              <w:t>Versioned files, hashes, case permissions and evidence exports.</w:t>
            </w:r>
          </w:p>
        </w:tc>
        <w:tc>
          <w:tcPr>
            <w:tcW w:type="dxa" w:w="4277"/>
            <w:vAlign w:val="center"/>
            <w:shd w:fill="FFFFFF"/>
          </w:tcPr>
          <w:p>
            <w:pPr>
              <w:keepNext w:val="0"/>
              <w:spacing w:after="0" w:line="252" w:lineRule="auto"/>
            </w:pPr>
            <w:r>
              <w:rPr>
                <w:rFonts w:ascii="Segoe UI" w:hAnsi="Segoe UI"/>
                <w:b w:val="0"/>
                <w:color w:val="17212B"/>
                <w:sz w:val="18"/>
              </w:rPr>
              <w:t>Validate retention, restoration, access administration and realistic file sizes.</w:t>
            </w:r>
          </w:p>
        </w:tc>
      </w:tr>
      <w:tr>
        <w:trPr>
          <w:cantSplit/>
        </w:trPr>
        <w:tc>
          <w:tcPr>
            <w:tcW w:type="dxa" w:w="1771"/>
            <w:vAlign w:val="center"/>
            <w:shd w:fill="F0F4F7"/>
          </w:tcPr>
          <w:p>
            <w:pPr>
              <w:keepNext w:val="0"/>
              <w:spacing w:after="0" w:line="252" w:lineRule="auto"/>
            </w:pPr>
            <w:r>
              <w:rPr>
                <w:rFonts w:ascii="Segoe UI" w:hAnsi="Segoe UI"/>
                <w:b w:val="0"/>
                <w:color w:val="17212B"/>
                <w:sz w:val="18"/>
              </w:rPr>
              <w:t>Recruitment and meetings</w:t>
            </w:r>
          </w:p>
        </w:tc>
        <w:tc>
          <w:tcPr>
            <w:tcW w:type="dxa" w:w="4118"/>
            <w:vAlign w:val="center"/>
            <w:shd w:fill="F0F4F7"/>
          </w:tcPr>
          <w:p>
            <w:pPr>
              <w:keepNext w:val="0"/>
              <w:spacing w:after="0" w:line="252" w:lineRule="auto"/>
            </w:pPr>
            <w:r>
              <w:rPr>
                <w:rFonts w:ascii="Segoe UI" w:hAnsi="Segoe UI"/>
                <w:b w:val="0"/>
                <w:color w:val="17212B"/>
                <w:sz w:val="18"/>
              </w:rPr>
              <w:t>Candidate stages and scorecard versions; simulated meeting scheduling.</w:t>
            </w:r>
          </w:p>
        </w:tc>
        <w:tc>
          <w:tcPr>
            <w:tcW w:type="dxa" w:w="4277"/>
            <w:vAlign w:val="center"/>
            <w:shd w:fill="F0F4F7"/>
          </w:tcPr>
          <w:p>
            <w:pPr>
              <w:keepNext w:val="0"/>
              <w:spacing w:after="0" w:line="252" w:lineRule="auto"/>
            </w:pPr>
            <w:r>
              <w:rPr>
                <w:rFonts w:ascii="Segoe UI" w:hAnsi="Segoe UI"/>
                <w:b w:val="0"/>
                <w:color w:val="17212B"/>
                <w:sz w:val="18"/>
              </w:rPr>
              <w:t>Live Microsoft Graph and Teams integration requires a separate authorised implementation.</w:t>
            </w:r>
          </w:p>
        </w:tc>
      </w:tr>
      <w:tr>
        <w:trPr>
          <w:cantSplit/>
        </w:trPr>
        <w:tc>
          <w:tcPr>
            <w:tcW w:type="dxa" w:w="1771"/>
            <w:vAlign w:val="center"/>
            <w:shd w:fill="FFFFFF"/>
          </w:tcPr>
          <w:p>
            <w:pPr>
              <w:keepNext w:val="0"/>
              <w:spacing w:after="0" w:line="252" w:lineRule="auto"/>
            </w:pPr>
            <w:r>
              <w:rPr>
                <w:rFonts w:ascii="Segoe UI" w:hAnsi="Segoe UI"/>
                <w:b w:val="0"/>
                <w:color w:val="17212B"/>
                <w:sz w:val="18"/>
              </w:rPr>
              <w:t>AI assistance</w:t>
            </w:r>
          </w:p>
        </w:tc>
        <w:tc>
          <w:tcPr>
            <w:tcW w:type="dxa" w:w="4118"/>
            <w:vAlign w:val="center"/>
            <w:shd w:fill="FFFFFF"/>
          </w:tcPr>
          <w:p>
            <w:pPr>
              <w:keepNext w:val="0"/>
              <w:spacing w:after="0" w:line="252" w:lineRule="auto"/>
            </w:pPr>
            <w:r>
              <w:rPr>
                <w:rFonts w:ascii="Segoe UI" w:hAnsi="Segoe UI"/>
                <w:b w:val="0"/>
                <w:color w:val="17212B"/>
                <w:sz w:val="18"/>
              </w:rPr>
              <w:t>A labelled Mock model demonstrates controlled drafting.</w:t>
            </w:r>
          </w:p>
        </w:tc>
        <w:tc>
          <w:tcPr>
            <w:tcW w:type="dxa" w:w="4277"/>
            <w:vAlign w:val="center"/>
            <w:shd w:fill="FFFFFF"/>
          </w:tcPr>
          <w:p>
            <w:pPr>
              <w:keepNext w:val="0"/>
              <w:spacing w:after="0" w:line="252" w:lineRule="auto"/>
            </w:pPr>
            <w:r>
              <w:rPr>
                <w:rFonts w:ascii="Segoe UI" w:hAnsi="Segoe UI"/>
                <w:b w:val="0"/>
                <w:color w:val="17212B"/>
                <w:sz w:val="18"/>
              </w:rPr>
              <w:t>Select and evaluate a live model, with privacy review and human acceptance criteria.</w:t>
            </w:r>
          </w:p>
        </w:tc>
      </w:tr>
      <w:tr>
        <w:trPr>
          <w:cantSplit/>
        </w:trPr>
        <w:tc>
          <w:tcPr>
            <w:tcW w:type="dxa" w:w="1771"/>
            <w:vAlign w:val="center"/>
            <w:shd w:fill="F0F4F7"/>
          </w:tcPr>
          <w:p>
            <w:pPr>
              <w:keepNext w:val="0"/>
              <w:spacing w:after="0" w:line="252" w:lineRule="auto"/>
            </w:pPr>
            <w:r>
              <w:rPr>
                <w:rFonts w:ascii="Segoe UI" w:hAnsi="Segoe UI"/>
                <w:b w:val="0"/>
                <w:color w:val="17212B"/>
                <w:sz w:val="18"/>
              </w:rPr>
              <w:t>Hosting and identity</w:t>
            </w:r>
          </w:p>
        </w:tc>
        <w:tc>
          <w:tcPr>
            <w:tcW w:type="dxa" w:w="4118"/>
            <w:vAlign w:val="center"/>
            <w:shd w:fill="F0F4F7"/>
          </w:tcPr>
          <w:p>
            <w:pPr>
              <w:keepNext w:val="0"/>
              <w:spacing w:after="0" w:line="252" w:lineRule="auto"/>
            </w:pPr>
            <w:r>
              <w:rPr>
                <w:rFonts w:ascii="Segoe UI" w:hAnsi="Segoe UI"/>
                <w:b w:val="0"/>
                <w:color w:val="17212B"/>
                <w:sz w:val="18"/>
              </w:rPr>
              <w:t>A deployed demonstration uses Vercel, PostgreSQL and private evidence storage.</w:t>
            </w:r>
          </w:p>
        </w:tc>
        <w:tc>
          <w:tcPr>
            <w:tcW w:type="dxa" w:w="4277"/>
            <w:vAlign w:val="center"/>
            <w:shd w:fill="F0F4F7"/>
          </w:tcPr>
          <w:p>
            <w:pPr>
              <w:keepNext w:val="0"/>
              <w:spacing w:after="0" w:line="252" w:lineRule="auto"/>
            </w:pPr>
            <w:r>
              <w:rPr>
                <w:rFonts w:ascii="Segoe UI" w:hAnsi="Segoe UI"/>
                <w:b w:val="0"/>
                <w:color w:val="17212B"/>
                <w:sz w:val="18"/>
              </w:rPr>
              <w:t>Agree hosting, SSO or other identity controls, service levels and operational support.</w:t>
            </w:r>
          </w:p>
        </w:tc>
      </w:tr>
      <w:tr>
        <w:trPr>
          <w:cantSplit/>
        </w:trPr>
        <w:tc>
          <w:tcPr>
            <w:tcW w:type="dxa" w:w="1771"/>
            <w:vAlign w:val="center"/>
            <w:shd w:fill="FFFFFF"/>
          </w:tcPr>
          <w:p>
            <w:pPr>
              <w:keepNext w:val="0"/>
              <w:spacing w:after="0" w:line="252" w:lineRule="auto"/>
            </w:pPr>
            <w:r>
              <w:rPr>
                <w:rFonts w:ascii="Segoe UI" w:hAnsi="Segoe UI"/>
                <w:b w:val="0"/>
                <w:color w:val="17212B"/>
                <w:sz w:val="18"/>
              </w:rPr>
              <w:t>Enterprise architecture</w:t>
            </w:r>
          </w:p>
        </w:tc>
        <w:tc>
          <w:tcPr>
            <w:tcW w:type="dxa" w:w="4118"/>
            <w:vAlign w:val="center"/>
            <w:shd w:fill="FFFFFF"/>
          </w:tcPr>
          <w:p>
            <w:pPr>
              <w:keepNext w:val="0"/>
              <w:spacing w:after="0" w:line="252" w:lineRule="auto"/>
            </w:pPr>
            <w:r>
              <w:rPr>
                <w:rFonts w:ascii="Segoe UI" w:hAnsi="Segoe UI"/>
                <w:b w:val="0"/>
                <w:color w:val="17212B"/>
                <w:sz w:val="18"/>
              </w:rPr>
              <w:t>An AWS and Spring Boot target architecture is documented.</w:t>
            </w:r>
          </w:p>
        </w:tc>
        <w:tc>
          <w:tcPr>
            <w:tcW w:type="dxa" w:w="4277"/>
            <w:vAlign w:val="center"/>
            <w:shd w:fill="FFFFFF"/>
          </w:tcPr>
          <w:p>
            <w:pPr>
              <w:keepNext w:val="0"/>
              <w:spacing w:after="0" w:line="252" w:lineRule="auto"/>
            </w:pPr>
            <w:r>
              <w:rPr>
                <w:rFonts w:ascii="Segoe UI" w:hAnsi="Segoe UI"/>
                <w:b w:val="0"/>
                <w:color w:val="17212B"/>
                <w:sz w:val="18"/>
              </w:rPr>
              <w:t>Treat migration and enterprise services as a separately scoped roadmap, not installed features.</w:t>
            </w:r>
          </w:p>
        </w:tc>
      </w:tr>
    </w:tbl>
    <w:p>
      <w:pPr>
        <w:spacing w:after="20"/>
      </w:pPr>
    </w:p>
    <w:p>
      <w:pPr>
        <w:pStyle w:val="Heading2"/>
      </w:pPr>
      <w:r>
        <w:t>Where PeopleLedger fits</w:t>
      </w:r>
    </w:p>
    <w:p>
      <w:r>
        <w:t>Payroll and accounting products remain the systems of record. PeopleLedger adds a review process across selected exports and evidence. If your existing systems already provide an equivalent process, the pilot should test whether the additional workspace creates enough value to justify its cost.</w:t>
      </w:r>
    </w:p>
    <w:p>
      <w:r>
        <w:t>The first pilot excludes salary payments, automated statutory submissions, a statutory audit opinion and autonomous AI approvals. Demonstration checks require business validation. File handling and request limits in the current deployment must be assessed before agreeing to larger evidence packages.</w:t>
      </w:r>
    </w:p>
    <w:p>
      <w:r>
        <w:br w:type="page"/>
      </w:r>
    </w:p>
    <w:p>
      <w:pPr>
        <w:pStyle w:val="Heading1"/>
      </w:pPr>
      <w:r>
        <w:t>4 Proposed eight week pilot</w:t>
      </w:r>
    </w:p>
    <w:p>
      <w:r>
        <w:t>We recommend one legal entity, two historical review periods and a named group of preparers and approvers. The final record count, file size, supported formats, working hours and customer effort would be documented before the pilot begins. Start with synthetic or de-identified data until the agreed data protection and security conditions are met.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1613"/>
        <w:gridCol w:w="4320"/>
        <w:gridCol w:w="4234"/>
      </w:tblGrid>
      <w:tr>
        <w:trPr>
          <w:cantSplit/>
          <w:tblHeader/>
        </w:trPr>
        <w:tc>
          <w:tcPr>
            <w:tcW w:type="dxa" w:w="1613"/>
            <w:vAlign w:val="center"/>
            <w:shd w:fill="213F59"/>
          </w:tcPr>
          <w:p>
            <w:pPr>
              <w:keepNext w:val="0"/>
              <w:spacing w:after="0" w:line="252" w:lineRule="auto"/>
            </w:pPr>
            <w:r>
              <w:rPr>
                <w:rFonts w:ascii="Segoe UI" w:hAnsi="Segoe UI"/>
                <w:b/>
                <w:color w:val="FFFFFF"/>
                <w:sz w:val="19"/>
              </w:rPr>
              <w:t>Timing</w:t>
            </w:r>
          </w:p>
        </w:tc>
        <w:tc>
          <w:tcPr>
            <w:tcW w:type="dxa" w:w="4320"/>
            <w:vAlign w:val="center"/>
            <w:shd w:fill="213F59"/>
          </w:tcPr>
          <w:p>
            <w:pPr>
              <w:keepNext w:val="0"/>
              <w:spacing w:after="0" w:line="252" w:lineRule="auto"/>
            </w:pPr>
            <w:r>
              <w:rPr>
                <w:rFonts w:ascii="Segoe UI" w:hAnsi="Segoe UI"/>
                <w:b/>
                <w:color w:val="FFFFFF"/>
                <w:sz w:val="19"/>
              </w:rPr>
              <w:t>Joint activities</w:t>
            </w:r>
          </w:p>
        </w:tc>
        <w:tc>
          <w:tcPr>
            <w:tcW w:type="dxa" w:w="4234"/>
            <w:vAlign w:val="center"/>
            <w:shd w:fill="213F59"/>
          </w:tcPr>
          <w:p>
            <w:pPr>
              <w:keepNext w:val="0"/>
              <w:spacing w:after="0" w:line="252" w:lineRule="auto"/>
            </w:pPr>
            <w:r>
              <w:rPr>
                <w:rFonts w:ascii="Segoe UI" w:hAnsi="Segoe UI"/>
                <w:b/>
                <w:color w:val="FFFFFF"/>
                <w:sz w:val="19"/>
              </w:rPr>
              <w:t>Required output</w:t>
            </w:r>
          </w:p>
        </w:tc>
      </w:tr>
      <w:tr>
        <w:trPr>
          <w:cantSplit/>
        </w:trPr>
        <w:tc>
          <w:tcPr>
            <w:tcW w:type="dxa" w:w="1613"/>
            <w:vAlign w:val="center"/>
            <w:shd w:fill="FFFFFF"/>
          </w:tcPr>
          <w:p>
            <w:pPr>
              <w:keepNext w:val="0"/>
              <w:spacing w:after="0" w:line="252" w:lineRule="auto"/>
            </w:pPr>
            <w:r>
              <w:rPr>
                <w:rFonts w:ascii="Segoe UI" w:hAnsi="Segoe UI"/>
                <w:b w:val="0"/>
                <w:color w:val="17212B"/>
                <w:sz w:val="19"/>
              </w:rPr>
              <w:t>Weeks 1 and 2</w:t>
            </w:r>
          </w:p>
        </w:tc>
        <w:tc>
          <w:tcPr>
            <w:tcW w:type="dxa" w:w="4320"/>
            <w:vAlign w:val="center"/>
            <w:shd w:fill="FFFFFF"/>
          </w:tcPr>
          <w:p>
            <w:pPr>
              <w:keepNext w:val="0"/>
              <w:spacing w:after="0" w:line="252" w:lineRule="auto"/>
            </w:pPr>
            <w:r>
              <w:rPr>
                <w:rFonts w:ascii="Segoe UI" w:hAnsi="Segoe UI"/>
                <w:b w:val="0"/>
                <w:color w:val="17212B"/>
                <w:sz w:val="19"/>
              </w:rPr>
              <w:t>Map the current review, agree data and responsibilities, measure the baseline and confirm the scope.</w:t>
            </w:r>
          </w:p>
        </w:tc>
        <w:tc>
          <w:tcPr>
            <w:tcW w:type="dxa" w:w="4234"/>
            <w:vAlign w:val="center"/>
            <w:shd w:fill="FFFFFF"/>
          </w:tcPr>
          <w:p>
            <w:pPr>
              <w:keepNext w:val="0"/>
              <w:spacing w:after="0" w:line="252" w:lineRule="auto"/>
            </w:pPr>
            <w:r>
              <w:rPr>
                <w:rFonts w:ascii="Segoe UI" w:hAnsi="Segoe UI"/>
                <w:b w:val="0"/>
                <w:color w:val="17212B"/>
                <w:sz w:val="19"/>
              </w:rPr>
              <w:t>Signed pilot plan, data handling arrangement, baseline and acceptance tests.</w:t>
            </w:r>
          </w:p>
        </w:tc>
      </w:tr>
      <w:tr>
        <w:trPr>
          <w:cantSplit/>
        </w:trPr>
        <w:tc>
          <w:tcPr>
            <w:tcW w:type="dxa" w:w="1613"/>
            <w:vAlign w:val="center"/>
            <w:shd w:fill="F0F4F7"/>
          </w:tcPr>
          <w:p>
            <w:pPr>
              <w:keepNext w:val="0"/>
              <w:spacing w:after="0" w:line="252" w:lineRule="auto"/>
            </w:pPr>
            <w:r>
              <w:rPr>
                <w:rFonts w:ascii="Segoe UI" w:hAnsi="Segoe UI"/>
                <w:b w:val="0"/>
                <w:color w:val="17212B"/>
                <w:sz w:val="19"/>
              </w:rPr>
              <w:t>Weeks 3 and 4</w:t>
            </w:r>
          </w:p>
        </w:tc>
        <w:tc>
          <w:tcPr>
            <w:tcW w:type="dxa" w:w="4320"/>
            <w:vAlign w:val="center"/>
            <w:shd w:fill="F0F4F7"/>
          </w:tcPr>
          <w:p>
            <w:pPr>
              <w:keepNext w:val="0"/>
              <w:spacing w:after="0" w:line="252" w:lineRule="auto"/>
            </w:pPr>
            <w:r>
              <w:rPr>
                <w:rFonts w:ascii="Segoe UI" w:hAnsi="Segoe UI"/>
                <w:b w:val="0"/>
                <w:color w:val="17212B"/>
                <w:sz w:val="19"/>
              </w:rPr>
              <w:t>Configure the workspace, map files, validate checks and train the pilot users.</w:t>
            </w:r>
          </w:p>
        </w:tc>
        <w:tc>
          <w:tcPr>
            <w:tcW w:type="dxa" w:w="4234"/>
            <w:vAlign w:val="center"/>
            <w:shd w:fill="F0F4F7"/>
          </w:tcPr>
          <w:p>
            <w:pPr>
              <w:keepNext w:val="0"/>
              <w:spacing w:after="0" w:line="252" w:lineRule="auto"/>
            </w:pPr>
            <w:r>
              <w:rPr>
                <w:rFonts w:ascii="Segoe UI" w:hAnsi="Segoe UI"/>
                <w:b w:val="0"/>
                <w:color w:val="17212B"/>
                <w:sz w:val="19"/>
              </w:rPr>
              <w:t>Accepted sample imports, approved rule definitions and trained reviewers.</w:t>
            </w:r>
          </w:p>
        </w:tc>
      </w:tr>
      <w:tr>
        <w:trPr>
          <w:cantSplit/>
        </w:trPr>
        <w:tc>
          <w:tcPr>
            <w:tcW w:type="dxa" w:w="1613"/>
            <w:vAlign w:val="center"/>
            <w:shd w:fill="FFFFFF"/>
          </w:tcPr>
          <w:p>
            <w:pPr>
              <w:keepNext w:val="0"/>
              <w:spacing w:after="0" w:line="252" w:lineRule="auto"/>
            </w:pPr>
            <w:r>
              <w:rPr>
                <w:rFonts w:ascii="Segoe UI" w:hAnsi="Segoe UI"/>
                <w:b w:val="0"/>
                <w:color w:val="17212B"/>
                <w:sz w:val="19"/>
              </w:rPr>
              <w:t>Weeks 5 and 6</w:t>
            </w:r>
          </w:p>
        </w:tc>
        <w:tc>
          <w:tcPr>
            <w:tcW w:type="dxa" w:w="4320"/>
            <w:vAlign w:val="center"/>
            <w:shd w:fill="FFFFFF"/>
          </w:tcPr>
          <w:p>
            <w:pPr>
              <w:keepNext w:val="0"/>
              <w:spacing w:after="0" w:line="252" w:lineRule="auto"/>
            </w:pPr>
            <w:r>
              <w:rPr>
                <w:rFonts w:ascii="Segoe UI" w:hAnsi="Segoe UI"/>
                <w:b w:val="0"/>
                <w:color w:val="17212B"/>
                <w:sz w:val="19"/>
              </w:rPr>
              <w:t>Run the agreed cases in parallel with the existing process; record exceptions and user effort.</w:t>
            </w:r>
          </w:p>
        </w:tc>
        <w:tc>
          <w:tcPr>
            <w:tcW w:type="dxa" w:w="4234"/>
            <w:vAlign w:val="center"/>
            <w:shd w:fill="FFFFFF"/>
          </w:tcPr>
          <w:p>
            <w:pPr>
              <w:keepNext w:val="0"/>
              <w:spacing w:after="0" w:line="252" w:lineRule="auto"/>
            </w:pPr>
            <w:r>
              <w:rPr>
                <w:rFonts w:ascii="Segoe UI" w:hAnsi="Segoe UI"/>
                <w:b w:val="0"/>
                <w:color w:val="17212B"/>
                <w:sz w:val="19"/>
              </w:rPr>
              <w:t>Completed review cases, decision trails and evidence exports.</w:t>
            </w:r>
          </w:p>
        </w:tc>
      </w:tr>
      <w:tr>
        <w:trPr>
          <w:cantSplit/>
        </w:trPr>
        <w:tc>
          <w:tcPr>
            <w:tcW w:type="dxa" w:w="1613"/>
            <w:vAlign w:val="center"/>
            <w:shd w:fill="F0F4F7"/>
          </w:tcPr>
          <w:p>
            <w:pPr>
              <w:keepNext w:val="0"/>
              <w:spacing w:after="0" w:line="252" w:lineRule="auto"/>
            </w:pPr>
            <w:r>
              <w:rPr>
                <w:rFonts w:ascii="Segoe UI" w:hAnsi="Segoe UI"/>
                <w:b w:val="0"/>
                <w:color w:val="17212B"/>
                <w:sz w:val="19"/>
              </w:rPr>
              <w:t>Weeks 7 and 8</w:t>
            </w:r>
          </w:p>
        </w:tc>
        <w:tc>
          <w:tcPr>
            <w:tcW w:type="dxa" w:w="4320"/>
            <w:vAlign w:val="center"/>
            <w:shd w:fill="F0F4F7"/>
          </w:tcPr>
          <w:p>
            <w:pPr>
              <w:keepNext w:val="0"/>
              <w:spacing w:after="0" w:line="252" w:lineRule="auto"/>
            </w:pPr>
            <w:r>
              <w:rPr>
                <w:rFonts w:ascii="Segoe UI" w:hAnsi="Segoe UI"/>
                <w:b w:val="0"/>
                <w:color w:val="17212B"/>
                <w:sz w:val="19"/>
              </w:rPr>
              <w:t>Compare results with the baseline, test recovery and access controls, and assess outstanding issues.</w:t>
            </w:r>
          </w:p>
        </w:tc>
        <w:tc>
          <w:tcPr>
            <w:tcW w:type="dxa" w:w="4234"/>
            <w:vAlign w:val="center"/>
            <w:shd w:fill="F0F4F7"/>
          </w:tcPr>
          <w:p>
            <w:pPr>
              <w:keepNext w:val="0"/>
              <w:spacing w:after="0" w:line="252" w:lineRule="auto"/>
            </w:pPr>
            <w:r>
              <w:rPr>
                <w:rFonts w:ascii="Segoe UI" w:hAnsi="Segoe UI"/>
                <w:b w:val="0"/>
                <w:color w:val="17212B"/>
                <w:sz w:val="19"/>
              </w:rPr>
              <w:t>Pilot evaluation, remediation plan and an expand, extend or stop decision.</w:t>
            </w:r>
          </w:p>
        </w:tc>
      </w:tr>
    </w:tbl>
    <w:p>
      <w:pPr>
        <w:spacing w:after="20"/>
      </w:pPr>
    </w:p>
    <w:p>
      <w:pPr>
        <w:pStyle w:val="Heading2"/>
      </w:pPr>
      <w:r>
        <w:t>Proposed success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592"/>
        <w:gridCol w:w="7574"/>
      </w:tblGrid>
      <w:tr>
        <w:trPr>
          <w:cantSplit/>
          <w:tblHeader/>
        </w:trPr>
        <w:tc>
          <w:tcPr>
            <w:tcW w:type="dxa" w:w="2592"/>
            <w:vAlign w:val="center"/>
            <w:shd w:fill="213F59"/>
          </w:tcPr>
          <w:p>
            <w:pPr>
              <w:keepNext w:val="0"/>
              <w:spacing w:after="0" w:line="252" w:lineRule="auto"/>
            </w:pPr>
            <w:r>
              <w:rPr>
                <w:rFonts w:ascii="Segoe UI" w:hAnsi="Segoe UI"/>
                <w:b/>
                <w:color w:val="FFFFFF"/>
                <w:sz w:val="18"/>
              </w:rPr>
              <w:t>Measure</w:t>
            </w:r>
          </w:p>
        </w:tc>
        <w:tc>
          <w:tcPr>
            <w:tcW w:type="dxa" w:w="7574"/>
            <w:vAlign w:val="center"/>
            <w:shd w:fill="213F59"/>
          </w:tcPr>
          <w:p>
            <w:pPr>
              <w:keepNext w:val="0"/>
              <w:spacing w:after="0" w:line="252" w:lineRule="auto"/>
            </w:pPr>
            <w:r>
              <w:rPr>
                <w:rFonts w:ascii="Segoe UI" w:hAnsi="Segoe UI"/>
                <w:b/>
                <w:color w:val="FFFFFF"/>
                <w:sz w:val="18"/>
              </w:rPr>
              <w:t>Starting target for agreement</w:t>
            </w:r>
          </w:p>
        </w:tc>
      </w:tr>
      <w:tr>
        <w:trPr>
          <w:cantSplit/>
        </w:trPr>
        <w:tc>
          <w:tcPr>
            <w:tcW w:type="dxa" w:w="2592"/>
            <w:vAlign w:val="center"/>
            <w:shd w:fill="FFFFFF"/>
          </w:tcPr>
          <w:p>
            <w:pPr>
              <w:keepNext w:val="0"/>
              <w:spacing w:after="0" w:line="252" w:lineRule="auto"/>
            </w:pPr>
            <w:r>
              <w:rPr>
                <w:rFonts w:ascii="Segoe UI" w:hAnsi="Segoe UI"/>
                <w:b w:val="0"/>
                <w:color w:val="17212B"/>
                <w:sz w:val="18"/>
              </w:rPr>
              <w:t>Evidence retrieval time</w:t>
            </w:r>
          </w:p>
        </w:tc>
        <w:tc>
          <w:tcPr>
            <w:tcW w:type="dxa" w:w="7574"/>
            <w:vAlign w:val="center"/>
            <w:shd w:fill="FFFFFF"/>
          </w:tcPr>
          <w:p>
            <w:pPr>
              <w:keepNext w:val="0"/>
              <w:spacing w:after="0" w:line="252" w:lineRule="auto"/>
            </w:pPr>
            <w:r>
              <w:rPr>
                <w:rFonts w:ascii="Segoe UI" w:hAnsi="Segoe UI"/>
                <w:b w:val="0"/>
                <w:color w:val="17212B"/>
                <w:sz w:val="18"/>
              </w:rPr>
              <w:t>At least 30% lower median time across the same set of ten representative evidence requests.</w:t>
            </w:r>
          </w:p>
        </w:tc>
      </w:tr>
      <w:tr>
        <w:trPr>
          <w:cantSplit/>
        </w:trPr>
        <w:tc>
          <w:tcPr>
            <w:tcW w:type="dxa" w:w="2592"/>
            <w:vAlign w:val="center"/>
            <w:shd w:fill="F0F4F7"/>
          </w:tcPr>
          <w:p>
            <w:pPr>
              <w:keepNext w:val="0"/>
              <w:spacing w:after="0" w:line="252" w:lineRule="auto"/>
            </w:pPr>
            <w:r>
              <w:rPr>
                <w:rFonts w:ascii="Segoe UI" w:hAnsi="Segoe UI"/>
                <w:b w:val="0"/>
                <w:color w:val="17212B"/>
                <w:sz w:val="18"/>
              </w:rPr>
              <w:t>Review preparation effort</w:t>
            </w:r>
          </w:p>
        </w:tc>
        <w:tc>
          <w:tcPr>
            <w:tcW w:type="dxa" w:w="7574"/>
            <w:vAlign w:val="center"/>
            <w:shd w:fill="F0F4F7"/>
          </w:tcPr>
          <w:p>
            <w:pPr>
              <w:keepNext w:val="0"/>
              <w:spacing w:after="0" w:line="252" w:lineRule="auto"/>
            </w:pPr>
            <w:r>
              <w:rPr>
                <w:rFonts w:ascii="Segoe UI" w:hAnsi="Segoe UI"/>
                <w:b w:val="0"/>
                <w:color w:val="17212B"/>
                <w:sz w:val="18"/>
              </w:rPr>
              <w:t>At least 20% fewer recorded staff hours for a comparable case, without omitting required review steps.</w:t>
            </w:r>
          </w:p>
        </w:tc>
      </w:tr>
      <w:tr>
        <w:trPr>
          <w:cantSplit/>
        </w:trPr>
        <w:tc>
          <w:tcPr>
            <w:tcW w:type="dxa" w:w="2592"/>
            <w:vAlign w:val="center"/>
            <w:shd w:fill="FFFFFF"/>
          </w:tcPr>
          <w:p>
            <w:pPr>
              <w:keepNext w:val="0"/>
              <w:spacing w:after="0" w:line="252" w:lineRule="auto"/>
            </w:pPr>
            <w:r>
              <w:rPr>
                <w:rFonts w:ascii="Segoe UI" w:hAnsi="Segoe UI"/>
                <w:b w:val="0"/>
                <w:color w:val="17212B"/>
                <w:sz w:val="18"/>
              </w:rPr>
              <w:t>Traceability</w:t>
            </w:r>
          </w:p>
        </w:tc>
        <w:tc>
          <w:tcPr>
            <w:tcW w:type="dxa" w:w="7574"/>
            <w:vAlign w:val="center"/>
            <w:shd w:fill="FFFFFF"/>
          </w:tcPr>
          <w:p>
            <w:pPr>
              <w:keepNext w:val="0"/>
              <w:spacing w:after="0" w:line="252" w:lineRule="auto"/>
            </w:pPr>
            <w:r>
              <w:rPr>
                <w:rFonts w:ascii="Segoe UI" w:hAnsi="Segoe UI"/>
                <w:b w:val="0"/>
                <w:color w:val="17212B"/>
                <w:sz w:val="18"/>
              </w:rPr>
              <w:t>Every accepted pilot report links to its defined source snapshot, evidence references and required decisions.</w:t>
            </w:r>
          </w:p>
        </w:tc>
      </w:tr>
      <w:tr>
        <w:trPr>
          <w:cantSplit/>
        </w:trPr>
        <w:tc>
          <w:tcPr>
            <w:tcW w:type="dxa" w:w="2592"/>
            <w:vAlign w:val="center"/>
            <w:shd w:fill="F0F4F7"/>
          </w:tcPr>
          <w:p>
            <w:pPr>
              <w:keepNext w:val="0"/>
              <w:spacing w:after="0" w:line="252" w:lineRule="auto"/>
            </w:pPr>
            <w:r>
              <w:rPr>
                <w:rFonts w:ascii="Segoe UI" w:hAnsi="Segoe UI"/>
                <w:b w:val="0"/>
                <w:color w:val="17212B"/>
                <w:sz w:val="18"/>
              </w:rPr>
              <w:t>Approval controls</w:t>
            </w:r>
          </w:p>
        </w:tc>
        <w:tc>
          <w:tcPr>
            <w:tcW w:type="dxa" w:w="7574"/>
            <w:vAlign w:val="center"/>
            <w:shd w:fill="F0F4F7"/>
          </w:tcPr>
          <w:p>
            <w:pPr>
              <w:keepNext w:val="0"/>
              <w:spacing w:after="0" w:line="252" w:lineRule="auto"/>
            </w:pPr>
            <w:r>
              <w:rPr>
                <w:rFonts w:ascii="Segoe UI" w:hAnsi="Segoe UI"/>
                <w:b w:val="0"/>
                <w:color w:val="17212B"/>
                <w:sz w:val="18"/>
              </w:rPr>
              <w:t>No unauthorised or out-of-sequence approval succeeds in the agreed negative test set.</w:t>
            </w:r>
          </w:p>
        </w:tc>
      </w:tr>
      <w:tr>
        <w:trPr>
          <w:cantSplit/>
        </w:trPr>
        <w:tc>
          <w:tcPr>
            <w:tcW w:type="dxa" w:w="2592"/>
            <w:vAlign w:val="center"/>
            <w:shd w:fill="FFFFFF"/>
          </w:tcPr>
          <w:p>
            <w:pPr>
              <w:keepNext w:val="0"/>
              <w:spacing w:after="0" w:line="252" w:lineRule="auto"/>
            </w:pPr>
            <w:r>
              <w:rPr>
                <w:rFonts w:ascii="Segoe UI" w:hAnsi="Segoe UI"/>
                <w:b w:val="0"/>
                <w:color w:val="17212B"/>
                <w:sz w:val="18"/>
              </w:rPr>
              <w:t>Operational readiness</w:t>
            </w:r>
          </w:p>
        </w:tc>
        <w:tc>
          <w:tcPr>
            <w:tcW w:type="dxa" w:w="7574"/>
            <w:vAlign w:val="center"/>
            <w:shd w:fill="FFFFFF"/>
          </w:tcPr>
          <w:p>
            <w:pPr>
              <w:keepNext w:val="0"/>
              <w:spacing w:after="0" w:line="252" w:lineRule="auto"/>
            </w:pPr>
            <w:r>
              <w:rPr>
                <w:rFonts w:ascii="Segoe UI" w:hAnsi="Segoe UI"/>
                <w:b w:val="0"/>
                <w:color w:val="17212B"/>
                <w:sz w:val="18"/>
              </w:rPr>
              <w:t>No unresolved critical issue at the agreed exit review; a representative restore and export test passes.</w:t>
            </w:r>
          </w:p>
        </w:tc>
      </w:tr>
    </w:tbl>
    <w:p>
      <w:pPr>
        <w:spacing w:after="20"/>
      </w:pPr>
    </w:p>
    <w:p>
      <w:r>
        <w:t>These are proposed evaluation targets, not measured product results. Agree the baseline, sample size and calculation method before execution. The finance sponsor and HR lead should sign off the results; IT and the data protection officer should approve the readiness assessment.</w:t>
      </w:r>
    </w:p>
    <w:p>
      <w:r>
        <w:br w:type="page"/>
      </w:r>
    </w:p>
    <w:p>
      <w:pPr>
        <w:pStyle w:val="Heading1"/>
      </w:pPr>
      <w:r>
        <w:t>5 Illustrative customer business case</w:t>
      </w:r>
    </w:p>
    <w:p>
      <w:r>
        <w:t>The pilot should measure whether PeopleLedger releases enough staff time to justify the full cost of adoption. Released time is capacity value; it becomes a cash saving only when the organisation can actually reduce expenditure. Faster retrieval and clearer accountability may also matter, but the example below assigns them no additional monetary value.</w:t>
      </w:r>
    </w:p>
    <w:p>
      <w:pPr>
        <w:pStyle w:val="Heading2"/>
      </w:pPr>
      <w:r>
        <w:t>Assumptions for discussion</w:t>
      </w:r>
    </w:p>
    <w:p>
      <w:r>
        <w:t>Assume a team currently spends 100 hours per month preparing and assembling review evidence, with a blended staff cost of SGD 40 per hour. For illustration only, assume a recurring platform and support cost of SGD 750 per month and a one-time implementation cost of SGD 3,000. These are calculation inputs, not PeopleLedger prices or a quotation.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3384"/>
        <w:gridCol w:w="2261"/>
        <w:gridCol w:w="2261"/>
        <w:gridCol w:w="2261"/>
      </w:tblGrid>
      <w:tr>
        <w:trPr>
          <w:cantSplit/>
          <w:tblHeader/>
        </w:trPr>
        <w:tc>
          <w:tcPr>
            <w:tcW w:type="dxa" w:w="3384"/>
            <w:vAlign w:val="center"/>
            <w:shd w:fill="213F59"/>
          </w:tcPr>
          <w:p>
            <w:pPr>
              <w:keepNext w:val="0"/>
              <w:spacing w:after="0" w:line="252" w:lineRule="auto"/>
            </w:pPr>
            <w:r>
              <w:rPr>
                <w:rFonts w:ascii="Segoe UI" w:hAnsi="Segoe UI"/>
                <w:b/>
                <w:color w:val="FFFFFF"/>
                <w:sz w:val="18"/>
              </w:rPr>
              <w:t>Measure</w:t>
            </w:r>
          </w:p>
        </w:tc>
        <w:tc>
          <w:tcPr>
            <w:tcW w:type="dxa" w:w="2261"/>
            <w:vAlign w:val="center"/>
            <w:shd w:fill="213F59"/>
          </w:tcPr>
          <w:p>
            <w:pPr>
              <w:keepNext w:val="0"/>
              <w:spacing w:after="0" w:line="252" w:lineRule="auto"/>
              <w:jc w:val="center"/>
            </w:pPr>
            <w:r>
              <w:rPr>
                <w:rFonts w:ascii="Segoe UI" w:hAnsi="Segoe UI"/>
                <w:b/>
                <w:color w:val="FFFFFF"/>
                <w:sz w:val="18"/>
              </w:rPr>
              <w:t>20% less effort</w:t>
            </w:r>
          </w:p>
        </w:tc>
        <w:tc>
          <w:tcPr>
            <w:tcW w:type="dxa" w:w="2261"/>
            <w:vAlign w:val="center"/>
            <w:shd w:fill="213F59"/>
          </w:tcPr>
          <w:p>
            <w:pPr>
              <w:keepNext w:val="0"/>
              <w:spacing w:after="0" w:line="252" w:lineRule="auto"/>
              <w:jc w:val="center"/>
            </w:pPr>
            <w:r>
              <w:rPr>
                <w:rFonts w:ascii="Segoe UI" w:hAnsi="Segoe UI"/>
                <w:b/>
                <w:color w:val="FFFFFF"/>
                <w:sz w:val="18"/>
              </w:rPr>
              <w:t>30% less effort</w:t>
            </w:r>
          </w:p>
        </w:tc>
        <w:tc>
          <w:tcPr>
            <w:tcW w:type="dxa" w:w="2261"/>
            <w:vAlign w:val="center"/>
            <w:shd w:fill="213F59"/>
          </w:tcPr>
          <w:p>
            <w:pPr>
              <w:keepNext w:val="0"/>
              <w:spacing w:after="0" w:line="252" w:lineRule="auto"/>
              <w:jc w:val="center"/>
            </w:pPr>
            <w:r>
              <w:rPr>
                <w:rFonts w:ascii="Segoe UI" w:hAnsi="Segoe UI"/>
                <w:b/>
                <w:color w:val="FFFFFF"/>
                <w:sz w:val="18"/>
              </w:rPr>
              <w:t>40% less effort</w:t>
            </w:r>
          </w:p>
        </w:tc>
      </w:tr>
      <w:tr>
        <w:trPr>
          <w:cantSplit/>
        </w:trPr>
        <w:tc>
          <w:tcPr>
            <w:tcW w:type="dxa" w:w="3384"/>
            <w:vAlign w:val="center"/>
            <w:shd w:fill="FFFFFF"/>
          </w:tcPr>
          <w:p>
            <w:pPr>
              <w:keepNext w:val="0"/>
              <w:spacing w:after="0" w:line="252" w:lineRule="auto"/>
            </w:pPr>
            <w:r>
              <w:rPr>
                <w:rFonts w:ascii="Segoe UI" w:hAnsi="Segoe UI"/>
                <w:b w:val="0"/>
                <w:color w:val="17212B"/>
                <w:sz w:val="18"/>
              </w:rPr>
              <w:t>Hours released</w:t>
            </w:r>
          </w:p>
        </w:tc>
        <w:tc>
          <w:tcPr>
            <w:tcW w:type="dxa" w:w="2261"/>
            <w:vAlign w:val="center"/>
            <w:shd w:fill="FFFFFF"/>
          </w:tcPr>
          <w:p>
            <w:pPr>
              <w:keepNext w:val="0"/>
              <w:spacing w:after="0" w:line="252" w:lineRule="auto"/>
              <w:jc w:val="center"/>
            </w:pPr>
            <w:r>
              <w:rPr>
                <w:rFonts w:ascii="Segoe UI" w:hAnsi="Segoe UI"/>
                <w:b w:val="0"/>
                <w:color w:val="17212B"/>
                <w:sz w:val="18"/>
              </w:rPr>
              <w:t>20</w:t>
            </w:r>
          </w:p>
        </w:tc>
        <w:tc>
          <w:tcPr>
            <w:tcW w:type="dxa" w:w="2261"/>
            <w:vAlign w:val="center"/>
            <w:shd w:fill="FFFFFF"/>
          </w:tcPr>
          <w:p>
            <w:pPr>
              <w:keepNext w:val="0"/>
              <w:spacing w:after="0" w:line="252" w:lineRule="auto"/>
              <w:jc w:val="center"/>
            </w:pPr>
            <w:r>
              <w:rPr>
                <w:rFonts w:ascii="Segoe UI" w:hAnsi="Segoe UI"/>
                <w:b w:val="0"/>
                <w:color w:val="17212B"/>
                <w:sz w:val="18"/>
              </w:rPr>
              <w:t>30</w:t>
            </w:r>
          </w:p>
        </w:tc>
        <w:tc>
          <w:tcPr>
            <w:tcW w:type="dxa" w:w="2261"/>
            <w:vAlign w:val="center"/>
            <w:shd w:fill="FFFFFF"/>
          </w:tcPr>
          <w:p>
            <w:pPr>
              <w:keepNext w:val="0"/>
              <w:spacing w:after="0" w:line="252" w:lineRule="auto"/>
              <w:jc w:val="center"/>
            </w:pPr>
            <w:r>
              <w:rPr>
                <w:rFonts w:ascii="Segoe UI" w:hAnsi="Segoe UI"/>
                <w:b w:val="0"/>
                <w:color w:val="17212B"/>
                <w:sz w:val="18"/>
              </w:rPr>
              <w:t>40</w:t>
            </w:r>
          </w:p>
        </w:tc>
      </w:tr>
      <w:tr>
        <w:trPr>
          <w:cantSplit/>
        </w:trPr>
        <w:tc>
          <w:tcPr>
            <w:tcW w:type="dxa" w:w="3384"/>
            <w:vAlign w:val="center"/>
            <w:shd w:fill="F0F4F7"/>
          </w:tcPr>
          <w:p>
            <w:pPr>
              <w:keepNext w:val="0"/>
              <w:spacing w:after="0" w:line="252" w:lineRule="auto"/>
            </w:pPr>
            <w:r>
              <w:rPr>
                <w:rFonts w:ascii="Segoe UI" w:hAnsi="Segoe UI"/>
                <w:b w:val="0"/>
                <w:color w:val="17212B"/>
                <w:sz w:val="18"/>
              </w:rPr>
              <w:t>Capacity value at SGD 40 per hour</w:t>
            </w:r>
          </w:p>
        </w:tc>
        <w:tc>
          <w:tcPr>
            <w:tcW w:type="dxa" w:w="2261"/>
            <w:vAlign w:val="center"/>
            <w:shd w:fill="F0F4F7"/>
          </w:tcPr>
          <w:p>
            <w:pPr>
              <w:keepNext w:val="0"/>
              <w:spacing w:after="0" w:line="252" w:lineRule="auto"/>
              <w:jc w:val="center"/>
            </w:pPr>
            <w:r>
              <w:rPr>
                <w:rFonts w:ascii="Segoe UI" w:hAnsi="Segoe UI"/>
                <w:b w:val="0"/>
                <w:color w:val="17212B"/>
                <w:sz w:val="18"/>
              </w:rPr>
              <w:t>SGD 800</w:t>
            </w:r>
          </w:p>
        </w:tc>
        <w:tc>
          <w:tcPr>
            <w:tcW w:type="dxa" w:w="2261"/>
            <w:vAlign w:val="center"/>
            <w:shd w:fill="F0F4F7"/>
          </w:tcPr>
          <w:p>
            <w:pPr>
              <w:keepNext w:val="0"/>
              <w:spacing w:after="0" w:line="252" w:lineRule="auto"/>
              <w:jc w:val="center"/>
            </w:pPr>
            <w:r>
              <w:rPr>
                <w:rFonts w:ascii="Segoe UI" w:hAnsi="Segoe UI"/>
                <w:b w:val="0"/>
                <w:color w:val="17212B"/>
                <w:sz w:val="18"/>
              </w:rPr>
              <w:t>SGD 1,200</w:t>
            </w:r>
          </w:p>
        </w:tc>
        <w:tc>
          <w:tcPr>
            <w:tcW w:type="dxa" w:w="2261"/>
            <w:vAlign w:val="center"/>
            <w:shd w:fill="F0F4F7"/>
          </w:tcPr>
          <w:p>
            <w:pPr>
              <w:keepNext w:val="0"/>
              <w:spacing w:after="0" w:line="252" w:lineRule="auto"/>
              <w:jc w:val="center"/>
            </w:pPr>
            <w:r>
              <w:rPr>
                <w:rFonts w:ascii="Segoe UI" w:hAnsi="Segoe UI"/>
                <w:b w:val="0"/>
                <w:color w:val="17212B"/>
                <w:sz w:val="18"/>
              </w:rPr>
              <w:t>SGD 1,600</w:t>
            </w:r>
          </w:p>
        </w:tc>
      </w:tr>
      <w:tr>
        <w:trPr>
          <w:cantSplit/>
        </w:trPr>
        <w:tc>
          <w:tcPr>
            <w:tcW w:type="dxa" w:w="3384"/>
            <w:vAlign w:val="center"/>
            <w:shd w:fill="FFFFFF"/>
          </w:tcPr>
          <w:p>
            <w:pPr>
              <w:keepNext w:val="0"/>
              <w:spacing w:after="0" w:line="252" w:lineRule="auto"/>
            </w:pPr>
            <w:r>
              <w:rPr>
                <w:rFonts w:ascii="Segoe UI" w:hAnsi="Segoe UI"/>
                <w:b w:val="0"/>
                <w:color w:val="17212B"/>
                <w:sz w:val="18"/>
              </w:rPr>
              <w:t>Less assumed recurring cost</w:t>
            </w:r>
          </w:p>
        </w:tc>
        <w:tc>
          <w:tcPr>
            <w:tcW w:type="dxa" w:w="2261"/>
            <w:vAlign w:val="center"/>
            <w:shd w:fill="FFFFFF"/>
          </w:tcPr>
          <w:p>
            <w:pPr>
              <w:keepNext w:val="0"/>
              <w:spacing w:after="0" w:line="252" w:lineRule="auto"/>
              <w:jc w:val="center"/>
            </w:pPr>
            <w:r>
              <w:rPr>
                <w:rFonts w:ascii="Segoe UI" w:hAnsi="Segoe UI"/>
                <w:b w:val="0"/>
                <w:color w:val="17212B"/>
                <w:sz w:val="18"/>
              </w:rPr>
              <w:t>SGD 750</w:t>
            </w:r>
          </w:p>
        </w:tc>
        <w:tc>
          <w:tcPr>
            <w:tcW w:type="dxa" w:w="2261"/>
            <w:vAlign w:val="center"/>
            <w:shd w:fill="FFFFFF"/>
          </w:tcPr>
          <w:p>
            <w:pPr>
              <w:keepNext w:val="0"/>
              <w:spacing w:after="0" w:line="252" w:lineRule="auto"/>
              <w:jc w:val="center"/>
            </w:pPr>
            <w:r>
              <w:rPr>
                <w:rFonts w:ascii="Segoe UI" w:hAnsi="Segoe UI"/>
                <w:b w:val="0"/>
                <w:color w:val="17212B"/>
                <w:sz w:val="18"/>
              </w:rPr>
              <w:t>SGD 750</w:t>
            </w:r>
          </w:p>
        </w:tc>
        <w:tc>
          <w:tcPr>
            <w:tcW w:type="dxa" w:w="2261"/>
            <w:vAlign w:val="center"/>
            <w:shd w:fill="FFFFFF"/>
          </w:tcPr>
          <w:p>
            <w:pPr>
              <w:keepNext w:val="0"/>
              <w:spacing w:after="0" w:line="252" w:lineRule="auto"/>
              <w:jc w:val="center"/>
            </w:pPr>
            <w:r>
              <w:rPr>
                <w:rFonts w:ascii="Segoe UI" w:hAnsi="Segoe UI"/>
                <w:b w:val="0"/>
                <w:color w:val="17212B"/>
                <w:sz w:val="18"/>
              </w:rPr>
              <w:t>SGD 750</w:t>
            </w:r>
          </w:p>
        </w:tc>
      </w:tr>
      <w:tr>
        <w:trPr>
          <w:cantSplit/>
        </w:trPr>
        <w:tc>
          <w:tcPr>
            <w:tcW w:type="dxa" w:w="3384"/>
            <w:vAlign w:val="center"/>
            <w:shd w:fill="F0F4F7"/>
          </w:tcPr>
          <w:p>
            <w:pPr>
              <w:keepNext w:val="0"/>
              <w:spacing w:after="0" w:line="252" w:lineRule="auto"/>
            </w:pPr>
            <w:r>
              <w:rPr>
                <w:rFonts w:ascii="Segoe UI" w:hAnsi="Segoe UI"/>
                <w:b w:val="0"/>
                <w:color w:val="17212B"/>
                <w:sz w:val="18"/>
              </w:rPr>
              <w:t>Net monthly value</w:t>
            </w:r>
          </w:p>
        </w:tc>
        <w:tc>
          <w:tcPr>
            <w:tcW w:type="dxa" w:w="2261"/>
            <w:vAlign w:val="center"/>
            <w:shd w:fill="F0F4F7"/>
          </w:tcPr>
          <w:p>
            <w:pPr>
              <w:keepNext w:val="0"/>
              <w:spacing w:after="0" w:line="252" w:lineRule="auto"/>
              <w:jc w:val="center"/>
            </w:pPr>
            <w:r>
              <w:rPr>
                <w:rFonts w:ascii="Segoe UI" w:hAnsi="Segoe UI"/>
                <w:b w:val="0"/>
                <w:color w:val="17212B"/>
                <w:sz w:val="18"/>
              </w:rPr>
              <w:t>SGD 50</w:t>
            </w:r>
          </w:p>
        </w:tc>
        <w:tc>
          <w:tcPr>
            <w:tcW w:type="dxa" w:w="2261"/>
            <w:vAlign w:val="center"/>
            <w:shd w:fill="F0F4F7"/>
          </w:tcPr>
          <w:p>
            <w:pPr>
              <w:keepNext w:val="0"/>
              <w:spacing w:after="0" w:line="252" w:lineRule="auto"/>
              <w:jc w:val="center"/>
            </w:pPr>
            <w:r>
              <w:rPr>
                <w:rFonts w:ascii="Segoe UI" w:hAnsi="Segoe UI"/>
                <w:b w:val="0"/>
                <w:color w:val="17212B"/>
                <w:sz w:val="18"/>
              </w:rPr>
              <w:t>SGD 450</w:t>
            </w:r>
          </w:p>
        </w:tc>
        <w:tc>
          <w:tcPr>
            <w:tcW w:type="dxa" w:w="2261"/>
            <w:vAlign w:val="center"/>
            <w:shd w:fill="F0F4F7"/>
          </w:tcPr>
          <w:p>
            <w:pPr>
              <w:keepNext w:val="0"/>
              <w:spacing w:after="0" w:line="252" w:lineRule="auto"/>
              <w:jc w:val="center"/>
            </w:pPr>
            <w:r>
              <w:rPr>
                <w:rFonts w:ascii="Segoe UI" w:hAnsi="Segoe UI"/>
                <w:b w:val="0"/>
                <w:color w:val="17212B"/>
                <w:sz w:val="18"/>
              </w:rPr>
              <w:t>SGD 850</w:t>
            </w:r>
          </w:p>
        </w:tc>
      </w:tr>
      <w:tr>
        <w:trPr>
          <w:cantSplit/>
        </w:trPr>
        <w:tc>
          <w:tcPr>
            <w:tcW w:type="dxa" w:w="3384"/>
            <w:vAlign w:val="center"/>
            <w:shd w:fill="FFFFFF"/>
          </w:tcPr>
          <w:p>
            <w:pPr>
              <w:keepNext w:val="0"/>
              <w:spacing w:after="0" w:line="252" w:lineRule="auto"/>
            </w:pPr>
            <w:r>
              <w:rPr>
                <w:rFonts w:ascii="Segoe UI" w:hAnsi="Segoe UI"/>
                <w:b w:val="0"/>
                <w:color w:val="17212B"/>
                <w:sz w:val="18"/>
              </w:rPr>
              <w:t>First-year net value after assumed setup cost</w:t>
            </w:r>
          </w:p>
        </w:tc>
        <w:tc>
          <w:tcPr>
            <w:tcW w:type="dxa" w:w="2261"/>
            <w:vAlign w:val="center"/>
            <w:shd w:fill="FFFFFF"/>
          </w:tcPr>
          <w:p>
            <w:pPr>
              <w:keepNext w:val="0"/>
              <w:spacing w:after="0" w:line="252" w:lineRule="auto"/>
              <w:jc w:val="center"/>
            </w:pPr>
            <w:r>
              <w:rPr>
                <w:rFonts w:ascii="Segoe UI" w:hAnsi="Segoe UI"/>
                <w:b w:val="0"/>
                <w:color w:val="17212B"/>
                <w:sz w:val="18"/>
              </w:rPr>
              <w:t>SGD -2,400</w:t>
            </w:r>
          </w:p>
        </w:tc>
        <w:tc>
          <w:tcPr>
            <w:tcW w:type="dxa" w:w="2261"/>
            <w:vAlign w:val="center"/>
            <w:shd w:fill="FFFFFF"/>
          </w:tcPr>
          <w:p>
            <w:pPr>
              <w:keepNext w:val="0"/>
              <w:spacing w:after="0" w:line="252" w:lineRule="auto"/>
              <w:jc w:val="center"/>
            </w:pPr>
            <w:r>
              <w:rPr>
                <w:rFonts w:ascii="Segoe UI" w:hAnsi="Segoe UI"/>
                <w:b w:val="0"/>
                <w:color w:val="17212B"/>
                <w:sz w:val="18"/>
              </w:rPr>
              <w:t>SGD 2,400</w:t>
            </w:r>
          </w:p>
        </w:tc>
        <w:tc>
          <w:tcPr>
            <w:tcW w:type="dxa" w:w="2261"/>
            <w:vAlign w:val="center"/>
            <w:shd w:fill="FFFFFF"/>
          </w:tcPr>
          <w:p>
            <w:pPr>
              <w:keepNext w:val="0"/>
              <w:spacing w:after="0" w:line="252" w:lineRule="auto"/>
              <w:jc w:val="center"/>
            </w:pPr>
            <w:r>
              <w:rPr>
                <w:rFonts w:ascii="Segoe UI" w:hAnsi="Segoe UI"/>
                <w:b w:val="0"/>
                <w:color w:val="17212B"/>
                <w:sz w:val="18"/>
              </w:rPr>
              <w:t>SGD 7,200</w:t>
            </w:r>
          </w:p>
        </w:tc>
      </w:tr>
      <w:tr>
        <w:trPr>
          <w:cantSplit/>
        </w:trPr>
        <w:tc>
          <w:tcPr>
            <w:tcW w:type="dxa" w:w="3384"/>
            <w:vAlign w:val="center"/>
            <w:shd w:fill="F0F4F7"/>
          </w:tcPr>
          <w:p>
            <w:pPr>
              <w:keepNext w:val="0"/>
              <w:spacing w:after="0" w:line="252" w:lineRule="auto"/>
            </w:pPr>
            <w:r>
              <w:rPr>
                <w:rFonts w:ascii="Segoe UI" w:hAnsi="Segoe UI"/>
                <w:b w:val="0"/>
                <w:color w:val="17212B"/>
                <w:sz w:val="18"/>
              </w:rPr>
              <w:t>Simple payback on assumed setup cost</w:t>
            </w:r>
          </w:p>
        </w:tc>
        <w:tc>
          <w:tcPr>
            <w:tcW w:type="dxa" w:w="2261"/>
            <w:vAlign w:val="center"/>
            <w:shd w:fill="F0F4F7"/>
          </w:tcPr>
          <w:p>
            <w:pPr>
              <w:keepNext w:val="0"/>
              <w:spacing w:after="0" w:line="252" w:lineRule="auto"/>
              <w:jc w:val="center"/>
            </w:pPr>
            <w:r>
              <w:rPr>
                <w:rFonts w:ascii="Segoe UI" w:hAnsi="Segoe UI"/>
                <w:b w:val="0"/>
                <w:color w:val="17212B"/>
                <w:sz w:val="18"/>
              </w:rPr>
              <w:t>60 months</w:t>
            </w:r>
          </w:p>
        </w:tc>
        <w:tc>
          <w:tcPr>
            <w:tcW w:type="dxa" w:w="2261"/>
            <w:vAlign w:val="center"/>
            <w:shd w:fill="F0F4F7"/>
          </w:tcPr>
          <w:p>
            <w:pPr>
              <w:keepNext w:val="0"/>
              <w:spacing w:after="0" w:line="252" w:lineRule="auto"/>
              <w:jc w:val="center"/>
            </w:pPr>
            <w:r>
              <w:rPr>
                <w:rFonts w:ascii="Segoe UI" w:hAnsi="Segoe UI"/>
                <w:b w:val="0"/>
                <w:color w:val="17212B"/>
                <w:sz w:val="18"/>
              </w:rPr>
              <w:t>6.7 months</w:t>
            </w:r>
          </w:p>
        </w:tc>
        <w:tc>
          <w:tcPr>
            <w:tcW w:type="dxa" w:w="2261"/>
            <w:vAlign w:val="center"/>
            <w:shd w:fill="F0F4F7"/>
          </w:tcPr>
          <w:p>
            <w:pPr>
              <w:keepNext w:val="0"/>
              <w:spacing w:after="0" w:line="252" w:lineRule="auto"/>
              <w:jc w:val="center"/>
            </w:pPr>
            <w:r>
              <w:rPr>
                <w:rFonts w:ascii="Segoe UI" w:hAnsi="Segoe UI"/>
                <w:b w:val="0"/>
                <w:color w:val="17212B"/>
                <w:sz w:val="18"/>
              </w:rPr>
              <w:t>3.5 months</w:t>
            </w:r>
          </w:p>
        </w:tc>
      </w:tr>
    </w:tbl>
    <w:p>
      <w:pPr>
        <w:spacing w:after="20"/>
      </w:pPr>
    </w:p>
    <w:p>
      <w:r>
        <w:t>Monthly capacity value = baseline hours x reduction rate x staff cost. First-year net value = 12 x net monthly value - implementation cost. Simple payback = implementation cost divided by positive net monthly value. The recurring break-even point in this example is 18.75 hours released per month, or 18.75% of the baseline.</w:t>
      </w:r>
    </w:p>
    <w:p>
      <w:pPr>
        <w:pStyle w:val="Heading2"/>
      </w:pPr>
      <w:r>
        <w:t>How the customer should use the calculation</w:t>
      </w:r>
    </w:p>
    <w:p>
      <w:r>
        <w:t>Replace every assumption with measured pilot data and the agreed quotation. Include additional customer training, integration, migration, cloud usage, security work, pilot fees and applicable taxes where relevant. The table excludes these items and assumes a full twelve months of steady-state use; adoption delays would reduce first-year value.</w:t>
      </w:r>
    </w:p>
    <w:p>
      <w:r>
        <w:t>At the 20% scenario, the illustrated first-year value is negative. That result would support reducing cost, improving the scope or stopping the rollout. A purchase decision should use the total cost and the customer's required payback period, rather than treating time saved as a guaranteed financial return.</w:t>
      </w:r>
    </w:p>
    <w:p>
      <w:r>
        <w:br w:type="page"/>
      </w:r>
    </w:p>
    <w:p>
      <w:pPr>
        <w:pStyle w:val="Heading1"/>
      </w:pPr>
      <w:r>
        <w:t>6 Proposed commercial structure</w:t>
      </w:r>
    </w:p>
    <w:p>
      <w:r>
        <w:t>We propose a paid, fixed-scope evaluation followed by an optional subscription or dedicated deployment arrangement. The following packages are a structure for commercial discussion. Prices, capacity, implementation dates and support commitments require a written quotation after discovery.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261"/>
        <w:gridCol w:w="4507"/>
        <w:gridCol w:w="3398"/>
      </w:tblGrid>
      <w:tr>
        <w:trPr>
          <w:cantSplit/>
          <w:tblHeader/>
        </w:trPr>
        <w:tc>
          <w:tcPr>
            <w:tcW w:type="dxa" w:w="2261"/>
            <w:vAlign w:val="center"/>
            <w:shd w:fill="213F59"/>
          </w:tcPr>
          <w:p>
            <w:pPr>
              <w:keepNext w:val="0"/>
              <w:spacing w:after="0" w:line="252" w:lineRule="auto"/>
            </w:pPr>
            <w:r>
              <w:rPr>
                <w:rFonts w:ascii="Segoe UI" w:hAnsi="Segoe UI"/>
                <w:b/>
                <w:color w:val="FFFFFF"/>
                <w:sz w:val="19"/>
              </w:rPr>
              <w:t>Offering</w:t>
            </w:r>
          </w:p>
        </w:tc>
        <w:tc>
          <w:tcPr>
            <w:tcW w:type="dxa" w:w="4507"/>
            <w:vAlign w:val="center"/>
            <w:shd w:fill="213F59"/>
          </w:tcPr>
          <w:p>
            <w:pPr>
              <w:keepNext w:val="0"/>
              <w:spacing w:after="0" w:line="252" w:lineRule="auto"/>
            </w:pPr>
            <w:r>
              <w:rPr>
                <w:rFonts w:ascii="Segoe UI" w:hAnsi="Segoe UI"/>
                <w:b/>
                <w:color w:val="FFFFFF"/>
                <w:sz w:val="19"/>
              </w:rPr>
              <w:t>Proposed scope</w:t>
            </w:r>
          </w:p>
        </w:tc>
        <w:tc>
          <w:tcPr>
            <w:tcW w:type="dxa" w:w="3398"/>
            <w:vAlign w:val="center"/>
            <w:shd w:fill="213F59"/>
          </w:tcPr>
          <w:p>
            <w:pPr>
              <w:keepNext w:val="0"/>
              <w:spacing w:after="0" w:line="252" w:lineRule="auto"/>
            </w:pPr>
            <w:r>
              <w:rPr>
                <w:rFonts w:ascii="Segoe UI" w:hAnsi="Segoe UI"/>
                <w:b/>
                <w:color w:val="FFFFFF"/>
                <w:sz w:val="19"/>
              </w:rPr>
              <w:t>Charging basis</w:t>
            </w:r>
          </w:p>
        </w:tc>
      </w:tr>
      <w:tr>
        <w:trPr>
          <w:cantSplit/>
        </w:trPr>
        <w:tc>
          <w:tcPr>
            <w:tcW w:type="dxa" w:w="2261"/>
            <w:vAlign w:val="center"/>
            <w:shd w:fill="FFFFFF"/>
          </w:tcPr>
          <w:p>
            <w:pPr>
              <w:keepNext w:val="0"/>
              <w:spacing w:after="0" w:line="252" w:lineRule="auto"/>
            </w:pPr>
            <w:r>
              <w:rPr>
                <w:rFonts w:ascii="Segoe UI" w:hAnsi="Segoe UI"/>
                <w:b w:val="0"/>
                <w:color w:val="17212B"/>
                <w:sz w:val="19"/>
              </w:rPr>
              <w:t>Controlled pilot</w:t>
            </w:r>
          </w:p>
        </w:tc>
        <w:tc>
          <w:tcPr>
            <w:tcW w:type="dxa" w:w="4507"/>
            <w:vAlign w:val="center"/>
            <w:shd w:fill="FFFFFF"/>
          </w:tcPr>
          <w:p>
            <w:pPr>
              <w:keepNext w:val="0"/>
              <w:spacing w:after="0" w:line="252" w:lineRule="auto"/>
            </w:pPr>
            <w:r>
              <w:rPr>
                <w:rFonts w:ascii="Segoe UI" w:hAnsi="Segoe UI"/>
                <w:b w:val="0"/>
                <w:color w:val="17212B"/>
                <w:sz w:val="19"/>
              </w:rPr>
              <w:t>One entity, agreed historical cases, file mapping, user orientation and an evaluation report.</w:t>
            </w:r>
          </w:p>
        </w:tc>
        <w:tc>
          <w:tcPr>
            <w:tcW w:type="dxa" w:w="3398"/>
            <w:vAlign w:val="center"/>
            <w:shd w:fill="FFFFFF"/>
          </w:tcPr>
          <w:p>
            <w:pPr>
              <w:keepNext w:val="0"/>
              <w:spacing w:after="0" w:line="252" w:lineRule="auto"/>
            </w:pPr>
            <w:r>
              <w:rPr>
                <w:rFonts w:ascii="Segoe UI" w:hAnsi="Segoe UI"/>
                <w:b w:val="0"/>
                <w:color w:val="17212B"/>
                <w:sz w:val="19"/>
              </w:rPr>
              <w:t>A fixed project fee tied to the signed scope and acceptance milestones.</w:t>
            </w:r>
          </w:p>
        </w:tc>
      </w:tr>
      <w:tr>
        <w:trPr>
          <w:cantSplit/>
        </w:trPr>
        <w:tc>
          <w:tcPr>
            <w:tcW w:type="dxa" w:w="2261"/>
            <w:vAlign w:val="center"/>
            <w:shd w:fill="F0F4F7"/>
          </w:tcPr>
          <w:p>
            <w:pPr>
              <w:keepNext w:val="0"/>
              <w:spacing w:after="0" w:line="252" w:lineRule="auto"/>
            </w:pPr>
            <w:r>
              <w:rPr>
                <w:rFonts w:ascii="Segoe UI" w:hAnsi="Segoe UI"/>
                <w:b w:val="0"/>
                <w:color w:val="17212B"/>
                <w:sz w:val="19"/>
              </w:rPr>
              <w:t>Core review subscription</w:t>
            </w:r>
          </w:p>
        </w:tc>
        <w:tc>
          <w:tcPr>
            <w:tcW w:type="dxa" w:w="4507"/>
            <w:vAlign w:val="center"/>
            <w:shd w:fill="F0F4F7"/>
          </w:tcPr>
          <w:p>
            <w:pPr>
              <w:keepNext w:val="0"/>
              <w:spacing w:after="0" w:line="252" w:lineRule="auto"/>
            </w:pPr>
            <w:r>
              <w:rPr>
                <w:rFonts w:ascii="Segoe UI" w:hAnsi="Segoe UI"/>
                <w:b w:val="0"/>
                <w:color w:val="17212B"/>
                <w:sz w:val="19"/>
              </w:rPr>
              <w:t>The accepted HR and finance review workflow, defined user access, evidence storage and agreed support.</w:t>
            </w:r>
          </w:p>
        </w:tc>
        <w:tc>
          <w:tcPr>
            <w:tcW w:type="dxa" w:w="3398"/>
            <w:vAlign w:val="center"/>
            <w:shd w:fill="F0F4F7"/>
          </w:tcPr>
          <w:p>
            <w:pPr>
              <w:keepNext w:val="0"/>
              <w:spacing w:after="0" w:line="252" w:lineRule="auto"/>
            </w:pPr>
            <w:r>
              <w:rPr>
                <w:rFonts w:ascii="Segoe UI" w:hAnsi="Segoe UI"/>
                <w:b w:val="0"/>
                <w:color w:val="17212B"/>
                <w:sz w:val="19"/>
              </w:rPr>
              <w:t>A recurring fee with explicit entity, user, storage, case and support allowances.</w:t>
            </w:r>
          </w:p>
        </w:tc>
      </w:tr>
      <w:tr>
        <w:trPr>
          <w:cantSplit/>
        </w:trPr>
        <w:tc>
          <w:tcPr>
            <w:tcW w:type="dxa" w:w="2261"/>
            <w:vAlign w:val="center"/>
            <w:shd w:fill="FFFFFF"/>
          </w:tcPr>
          <w:p>
            <w:pPr>
              <w:keepNext w:val="0"/>
              <w:spacing w:after="0" w:line="252" w:lineRule="auto"/>
            </w:pPr>
            <w:r>
              <w:rPr>
                <w:rFonts w:ascii="Segoe UI" w:hAnsi="Segoe UI"/>
                <w:b w:val="0"/>
                <w:color w:val="17212B"/>
                <w:sz w:val="19"/>
              </w:rPr>
              <w:t>Integration services</w:t>
            </w:r>
          </w:p>
        </w:tc>
        <w:tc>
          <w:tcPr>
            <w:tcW w:type="dxa" w:w="4507"/>
            <w:vAlign w:val="center"/>
            <w:shd w:fill="FFFFFF"/>
          </w:tcPr>
          <w:p>
            <w:pPr>
              <w:keepNext w:val="0"/>
              <w:spacing w:after="0" w:line="252" w:lineRule="auto"/>
            </w:pPr>
            <w:r>
              <w:rPr>
                <w:rFonts w:ascii="Segoe UI" w:hAnsi="Segoe UI"/>
                <w:b w:val="0"/>
                <w:color w:val="17212B"/>
                <w:sz w:val="19"/>
              </w:rPr>
              <w:t>Additional source mappings, authorised external connections and customer-specific configuration.</w:t>
            </w:r>
          </w:p>
        </w:tc>
        <w:tc>
          <w:tcPr>
            <w:tcW w:type="dxa" w:w="3398"/>
            <w:vAlign w:val="center"/>
            <w:shd w:fill="FFFFFF"/>
          </w:tcPr>
          <w:p>
            <w:pPr>
              <w:keepNext w:val="0"/>
              <w:spacing w:after="0" w:line="252" w:lineRule="auto"/>
            </w:pPr>
            <w:r>
              <w:rPr>
                <w:rFonts w:ascii="Segoe UI" w:hAnsi="Segoe UI"/>
                <w:b w:val="0"/>
                <w:color w:val="17212B"/>
                <w:sz w:val="19"/>
              </w:rPr>
              <w:t>A separate statement of work priced by the defined deliverables.</w:t>
            </w:r>
          </w:p>
        </w:tc>
      </w:tr>
      <w:tr>
        <w:trPr>
          <w:cantSplit/>
        </w:trPr>
        <w:tc>
          <w:tcPr>
            <w:tcW w:type="dxa" w:w="2261"/>
            <w:vAlign w:val="center"/>
            <w:shd w:fill="F0F4F7"/>
          </w:tcPr>
          <w:p>
            <w:pPr>
              <w:keepNext w:val="0"/>
              <w:spacing w:after="0" w:line="252" w:lineRule="auto"/>
            </w:pPr>
            <w:r>
              <w:rPr>
                <w:rFonts w:ascii="Segoe UI" w:hAnsi="Segoe UI"/>
                <w:b w:val="0"/>
                <w:color w:val="17212B"/>
                <w:sz w:val="19"/>
              </w:rPr>
              <w:t>Enterprise deployment</w:t>
            </w:r>
          </w:p>
        </w:tc>
        <w:tc>
          <w:tcPr>
            <w:tcW w:type="dxa" w:w="4507"/>
            <w:vAlign w:val="center"/>
            <w:shd w:fill="F0F4F7"/>
          </w:tcPr>
          <w:p>
            <w:pPr>
              <w:keepNext w:val="0"/>
              <w:spacing w:after="0" w:line="252" w:lineRule="auto"/>
            </w:pPr>
            <w:r>
              <w:rPr>
                <w:rFonts w:ascii="Segoe UI" w:hAnsi="Segoe UI"/>
                <w:b w:val="0"/>
                <w:color w:val="17212B"/>
                <w:sz w:val="19"/>
              </w:rPr>
              <w:t>A dedicated environment, advanced identity, operating controls and architectural changes where required.</w:t>
            </w:r>
          </w:p>
        </w:tc>
        <w:tc>
          <w:tcPr>
            <w:tcW w:type="dxa" w:w="3398"/>
            <w:vAlign w:val="center"/>
            <w:shd w:fill="F0F4F7"/>
          </w:tcPr>
          <w:p>
            <w:pPr>
              <w:keepNext w:val="0"/>
              <w:spacing w:after="0" w:line="252" w:lineRule="auto"/>
            </w:pPr>
            <w:r>
              <w:rPr>
                <w:rFonts w:ascii="Segoe UI" w:hAnsi="Segoe UI"/>
                <w:b w:val="0"/>
                <w:color w:val="17212B"/>
                <w:sz w:val="19"/>
              </w:rPr>
              <w:t>A separately assessed project and service arrangement; scope depends on readiness requirements.</w:t>
            </w:r>
          </w:p>
        </w:tc>
      </w:tr>
    </w:tbl>
    <w:p>
      <w:pPr>
        <w:spacing w:after="20"/>
      </w:pPr>
    </w:p>
    <w:p>
      <w:pPr>
        <w:pStyle w:val="Heading2"/>
      </w:pPr>
      <w:r>
        <w:t>What the quotation should specify</w:t>
      </w:r>
    </w:p>
    <w:p>
      <w:pPr>
        <w:pStyle w:val="ListBullet"/>
      </w:pPr>
      <w:r>
        <w:t>The legal contracting parties, precise deliverables, included volumes, supported formats and excluded activities.</w:t>
      </w:r>
    </w:p>
    <w:p>
      <w:pPr>
        <w:pStyle w:val="ListBullet"/>
      </w:pPr>
      <w:r>
        <w:t>One-time and recurring charges, cloud and model usage treatment, applicable taxes, payment milestones and renewal terms.</w:t>
      </w:r>
    </w:p>
    <w:p>
      <w:pPr>
        <w:pStyle w:val="ListBullet"/>
      </w:pPr>
      <w:r>
        <w:t>User support hours, incident response expectations, service availability and backup responsibilities.</w:t>
      </w:r>
    </w:p>
    <w:p>
      <w:pPr>
        <w:pStyle w:val="ListBullet"/>
      </w:pPr>
      <w:r>
        <w:t>Data ownership, permitted processing, subprocessors, access controls, retention and the export and deletion process at exit.</w:t>
      </w:r>
    </w:p>
    <w:p>
      <w:pPr>
        <w:pStyle w:val="ListBullet"/>
      </w:pPr>
      <w:r>
        <w:t>Acceptance tests, correction periods, change control, termination terms and ownership of customer-specific work.</w:t>
      </w:r>
    </w:p>
    <w:p>
      <w:pPr>
        <w:pStyle w:val="Heading2"/>
      </w:pPr>
      <w:r>
        <w:t>A controlled route to adoption</w:t>
      </w:r>
    </w:p>
    <w:p>
      <w:r>
        <w:t>The customer should be able to complete the pilot and decide against further use. Subscription commencement and any wider implementation would follow an explicit acceptance decision and a separate agreement. Expansion may cover additional review periods, teams and entities once the initial process has proven useful and the required controls have been validated.</w:t>
      </w:r>
    </w:p>
    <w:p>
      <w:r>
        <w:br w:type="page"/>
      </w:r>
    </w:p>
    <w:p>
      <w:pPr>
        <w:pStyle w:val="Heading1"/>
      </w:pPr>
      <w:r>
        <w:t>7 Delivery responsibilities and readiness</w:t>
      </w:r>
    </w:p>
    <w:p>
      <w:r>
        <w:t>A useful pilot needs both product delivery and accountable business ownership. The proposed responsibilities below should become part of the final scope, with named individuals and agreed time commitments.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909"/>
        <w:gridCol w:w="7258"/>
      </w:tblGrid>
      <w:tr>
        <w:trPr>
          <w:cantSplit/>
          <w:tblHeader/>
        </w:trPr>
        <w:tc>
          <w:tcPr>
            <w:tcW w:type="dxa" w:w="2909"/>
            <w:vAlign w:val="center"/>
            <w:shd w:fill="213F59"/>
          </w:tcPr>
          <w:p>
            <w:pPr>
              <w:keepNext w:val="0"/>
              <w:spacing w:after="0" w:line="252" w:lineRule="auto"/>
            </w:pPr>
            <w:r>
              <w:rPr>
                <w:rFonts w:ascii="Segoe UI" w:hAnsi="Segoe UI"/>
                <w:b/>
                <w:color w:val="FFFFFF"/>
                <w:sz w:val="19"/>
              </w:rPr>
              <w:t>Responsible group</w:t>
            </w:r>
          </w:p>
        </w:tc>
        <w:tc>
          <w:tcPr>
            <w:tcW w:type="dxa" w:w="7258"/>
            <w:vAlign w:val="center"/>
            <w:shd w:fill="213F59"/>
          </w:tcPr>
          <w:p>
            <w:pPr>
              <w:keepNext w:val="0"/>
              <w:spacing w:after="0" w:line="252" w:lineRule="auto"/>
            </w:pPr>
            <w:r>
              <w:rPr>
                <w:rFonts w:ascii="Segoe UI" w:hAnsi="Segoe UI"/>
                <w:b/>
                <w:color w:val="FFFFFF"/>
                <w:sz w:val="19"/>
              </w:rPr>
              <w:t>Proposed responsibility</w:t>
            </w:r>
          </w:p>
        </w:tc>
      </w:tr>
      <w:tr>
        <w:trPr>
          <w:cantSplit/>
        </w:trPr>
        <w:tc>
          <w:tcPr>
            <w:tcW w:type="dxa" w:w="2909"/>
            <w:vAlign w:val="center"/>
            <w:shd w:fill="FFFFFF"/>
          </w:tcPr>
          <w:p>
            <w:pPr>
              <w:keepNext w:val="0"/>
              <w:spacing w:after="0" w:line="252" w:lineRule="auto"/>
            </w:pPr>
            <w:r>
              <w:rPr>
                <w:rFonts w:ascii="Segoe UI" w:hAnsi="Segoe UI"/>
                <w:b w:val="0"/>
                <w:color w:val="17212B"/>
                <w:sz w:val="19"/>
              </w:rPr>
              <w:t>PeopleLedger delivery team</w:t>
            </w:r>
          </w:p>
        </w:tc>
        <w:tc>
          <w:tcPr>
            <w:tcW w:type="dxa" w:w="7258"/>
            <w:vAlign w:val="center"/>
            <w:shd w:fill="FFFFFF"/>
          </w:tcPr>
          <w:p>
            <w:pPr>
              <w:keepNext w:val="0"/>
              <w:spacing w:after="0" w:line="252" w:lineRule="auto"/>
            </w:pPr>
            <w:r>
              <w:rPr>
                <w:rFonts w:ascii="Segoe UI" w:hAnsi="Segoe UI"/>
                <w:b w:val="0"/>
                <w:color w:val="17212B"/>
                <w:sz w:val="19"/>
              </w:rPr>
              <w:t>Configure the agreed workflow, map supported imports, train users, maintain the pilot issue log and provide the evaluation report.</w:t>
            </w:r>
          </w:p>
        </w:tc>
      </w:tr>
      <w:tr>
        <w:trPr>
          <w:cantSplit/>
        </w:trPr>
        <w:tc>
          <w:tcPr>
            <w:tcW w:type="dxa" w:w="2909"/>
            <w:vAlign w:val="center"/>
            <w:shd w:fill="F0F4F7"/>
          </w:tcPr>
          <w:p>
            <w:pPr>
              <w:keepNext w:val="0"/>
              <w:spacing w:after="0" w:line="252" w:lineRule="auto"/>
            </w:pPr>
            <w:r>
              <w:rPr>
                <w:rFonts w:ascii="Segoe UI" w:hAnsi="Segoe UI"/>
                <w:b w:val="0"/>
                <w:color w:val="17212B"/>
                <w:sz w:val="19"/>
              </w:rPr>
              <w:t>Finance sponsor and reviewers</w:t>
            </w:r>
          </w:p>
        </w:tc>
        <w:tc>
          <w:tcPr>
            <w:tcW w:type="dxa" w:w="7258"/>
            <w:vAlign w:val="center"/>
            <w:shd w:fill="F0F4F7"/>
          </w:tcPr>
          <w:p>
            <w:pPr>
              <w:keepNext w:val="0"/>
              <w:spacing w:after="0" w:line="252" w:lineRule="auto"/>
            </w:pPr>
            <w:r>
              <w:rPr>
                <w:rFonts w:ascii="Segoe UI" w:hAnsi="Segoe UI"/>
                <w:b w:val="0"/>
                <w:color w:val="17212B"/>
                <w:sz w:val="19"/>
              </w:rPr>
              <w:t>Select the cases, approve accounting interpretations and rule definitions, measure effort and accept or reject the business outcome.</w:t>
            </w:r>
          </w:p>
        </w:tc>
      </w:tr>
      <w:tr>
        <w:trPr>
          <w:cantSplit/>
        </w:trPr>
        <w:tc>
          <w:tcPr>
            <w:tcW w:type="dxa" w:w="2909"/>
            <w:vAlign w:val="center"/>
            <w:shd w:fill="FFFFFF"/>
          </w:tcPr>
          <w:p>
            <w:pPr>
              <w:keepNext w:val="0"/>
              <w:spacing w:after="0" w:line="252" w:lineRule="auto"/>
            </w:pPr>
            <w:r>
              <w:rPr>
                <w:rFonts w:ascii="Segoe UI" w:hAnsi="Segoe UI"/>
                <w:b w:val="0"/>
                <w:color w:val="17212B"/>
                <w:sz w:val="19"/>
              </w:rPr>
              <w:t>HR data owner</w:t>
            </w:r>
          </w:p>
        </w:tc>
        <w:tc>
          <w:tcPr>
            <w:tcW w:type="dxa" w:w="7258"/>
            <w:vAlign w:val="center"/>
            <w:shd w:fill="FFFFFF"/>
          </w:tcPr>
          <w:p>
            <w:pPr>
              <w:keepNext w:val="0"/>
              <w:spacing w:after="0" w:line="252" w:lineRule="auto"/>
            </w:pPr>
            <w:r>
              <w:rPr>
                <w:rFonts w:ascii="Segoe UI" w:hAnsi="Segoe UI"/>
                <w:b w:val="0"/>
                <w:color w:val="17212B"/>
                <w:sz w:val="19"/>
              </w:rPr>
              <w:t>Confirm eligible employee data, explain payroll records, approve authorised access and resolve source-data questions.</w:t>
            </w:r>
          </w:p>
        </w:tc>
      </w:tr>
      <w:tr>
        <w:trPr>
          <w:cantSplit/>
        </w:trPr>
        <w:tc>
          <w:tcPr>
            <w:tcW w:type="dxa" w:w="2909"/>
            <w:vAlign w:val="center"/>
            <w:shd w:fill="F0F4F7"/>
          </w:tcPr>
          <w:p>
            <w:pPr>
              <w:keepNext w:val="0"/>
              <w:spacing w:after="0" w:line="252" w:lineRule="auto"/>
            </w:pPr>
            <w:r>
              <w:rPr>
                <w:rFonts w:ascii="Segoe UI" w:hAnsi="Segoe UI"/>
                <w:b w:val="0"/>
                <w:color w:val="17212B"/>
                <w:sz w:val="19"/>
              </w:rPr>
              <w:t>Customer IT and data protection officer</w:t>
            </w:r>
          </w:p>
        </w:tc>
        <w:tc>
          <w:tcPr>
            <w:tcW w:type="dxa" w:w="7258"/>
            <w:vAlign w:val="center"/>
            <w:shd w:fill="F0F4F7"/>
          </w:tcPr>
          <w:p>
            <w:pPr>
              <w:keepNext w:val="0"/>
              <w:spacing w:after="0" w:line="252" w:lineRule="auto"/>
            </w:pPr>
            <w:r>
              <w:rPr>
                <w:rFonts w:ascii="Segoe UI" w:hAnsi="Segoe UI"/>
                <w:b w:val="0"/>
                <w:color w:val="17212B"/>
                <w:sz w:val="19"/>
              </w:rPr>
              <w:t>Approve data handling and hosting, review identity and access, agree retention and assess security and recovery evidence.</w:t>
            </w:r>
          </w:p>
        </w:tc>
      </w:tr>
      <w:tr>
        <w:trPr>
          <w:cantSplit/>
        </w:trPr>
        <w:tc>
          <w:tcPr>
            <w:tcW w:type="dxa" w:w="2909"/>
            <w:vAlign w:val="center"/>
            <w:shd w:fill="FFFFFF"/>
          </w:tcPr>
          <w:p>
            <w:pPr>
              <w:keepNext w:val="0"/>
              <w:spacing w:after="0" w:line="252" w:lineRule="auto"/>
            </w:pPr>
            <w:r>
              <w:rPr>
                <w:rFonts w:ascii="Segoe UI" w:hAnsi="Segoe UI"/>
                <w:b w:val="0"/>
                <w:color w:val="17212B"/>
                <w:sz w:val="19"/>
              </w:rPr>
              <w:t>Management approver</w:t>
            </w:r>
          </w:p>
        </w:tc>
        <w:tc>
          <w:tcPr>
            <w:tcW w:type="dxa" w:w="7258"/>
            <w:vAlign w:val="center"/>
            <w:shd w:fill="FFFFFF"/>
          </w:tcPr>
          <w:p>
            <w:pPr>
              <w:keepNext w:val="0"/>
              <w:spacing w:after="0" w:line="252" w:lineRule="auto"/>
            </w:pPr>
            <w:r>
              <w:rPr>
                <w:rFonts w:ascii="Segoe UI" w:hAnsi="Segoe UI"/>
                <w:b w:val="0"/>
                <w:color w:val="17212B"/>
                <w:sz w:val="19"/>
              </w:rPr>
              <w:t>Confirm delegated responsibilities, approve scope changes and make the final adoption decision.</w:t>
            </w:r>
          </w:p>
        </w:tc>
      </w:tr>
    </w:tbl>
    <w:p>
      <w:pPr>
        <w:spacing w:after="20"/>
      </w:pPr>
    </w:p>
    <w:p>
      <w:pPr>
        <w:pStyle w:val="Heading2"/>
      </w:pPr>
      <w:r>
        <w:t>Conditions before operational use</w:t>
      </w:r>
    </w:p>
    <w:p>
      <w:r>
        <w:t>Agree access and identity controls, review the permission matrix and restrict each user to the necessary cases. Confirm where records and backups reside, who can administer them, how incidents are handled, and how recovery is tested. Define retention and deletion by data category, including how legal holds and exported copies are handled.</w:t>
      </w:r>
    </w:p>
    <w:p>
      <w:r>
        <w:t>The pilot should test restoration of a representative dataset and its evidence files. It should also test historical report retrieval, failed imports, revoked access and unavailable external services. Resolve critical issues before real operational dependence on the platform.</w:t>
      </w:r>
    </w:p>
    <w:p>
      <w:pPr>
        <w:pStyle w:val="Heading2"/>
      </w:pPr>
      <w:r>
        <w:t>AI and external services</w:t>
      </w:r>
    </w:p>
    <w:p>
      <w:r>
        <w:t>Use the labelled Mock assistant unless a live model has been separately approved and evaluated. Human reviewers retain responsibility for financial judgments and approvals. A live Teams or other external integration requires authorised credentials, failure handling and end-to-end tests before it becomes part of the accepted service.</w:t>
      </w:r>
    </w:p>
    <w:p>
      <w:r>
        <w:t>PeopleLedger supports review and evidence preparation. The proposed scope does not provide a certification of legal compliance, a statutory audit or a guarantee against fraud. The service contract should allocate responsibilities and professional review requirements clearly.</w:t>
      </w:r>
    </w:p>
    <w:p>
      <w:r>
        <w:br w:type="page"/>
      </w:r>
    </w:p>
    <w:p>
      <w:pPr>
        <w:pStyle w:val="Heading1"/>
      </w:pPr>
      <w:r>
        <w:t>8 Demonstration and next decision</w:t>
      </w:r>
    </w:p>
    <w:p>
      <w:r>
        <w:t>The next step is a 45-minute demonstration with the finance sponsor, HR lead and an IT representative. We would use fictional records to show a complete case and discuss how the same review might fit your organisation.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016"/>
        <w:gridCol w:w="8150"/>
      </w:tblGrid>
      <w:tr>
        <w:trPr>
          <w:cantSplit/>
          <w:tblHeader/>
        </w:trPr>
        <w:tc>
          <w:tcPr>
            <w:tcW w:type="dxa" w:w="2016"/>
            <w:vAlign w:val="center"/>
            <w:shd w:fill="213F59"/>
          </w:tcPr>
          <w:p>
            <w:pPr>
              <w:keepNext w:val="0"/>
              <w:spacing w:after="0" w:line="252" w:lineRule="auto"/>
            </w:pPr>
            <w:r>
              <w:rPr>
                <w:rFonts w:ascii="Segoe UI" w:hAnsi="Segoe UI"/>
                <w:b/>
                <w:color w:val="FFFFFF"/>
                <w:sz w:val="19"/>
              </w:rPr>
              <w:t>Session segment</w:t>
            </w:r>
          </w:p>
        </w:tc>
        <w:tc>
          <w:tcPr>
            <w:tcW w:type="dxa" w:w="8150"/>
            <w:vAlign w:val="center"/>
            <w:shd w:fill="213F59"/>
          </w:tcPr>
          <w:p>
            <w:pPr>
              <w:keepNext w:val="0"/>
              <w:spacing w:after="0" w:line="252" w:lineRule="auto"/>
            </w:pPr>
            <w:r>
              <w:rPr>
                <w:rFonts w:ascii="Segoe UI" w:hAnsi="Segoe UI"/>
                <w:b/>
                <w:color w:val="FFFFFF"/>
                <w:sz w:val="19"/>
              </w:rPr>
              <w:t>Purpose</w:t>
            </w:r>
          </w:p>
        </w:tc>
      </w:tr>
      <w:tr>
        <w:trPr>
          <w:cantSplit/>
        </w:trPr>
        <w:tc>
          <w:tcPr>
            <w:tcW w:type="dxa" w:w="2016"/>
            <w:vAlign w:val="center"/>
            <w:shd w:fill="FFFFFF"/>
          </w:tcPr>
          <w:p>
            <w:pPr>
              <w:keepNext w:val="0"/>
              <w:spacing w:after="0" w:line="252" w:lineRule="auto"/>
            </w:pPr>
            <w:r>
              <w:rPr>
                <w:rFonts w:ascii="Segoe UI" w:hAnsi="Segoe UI"/>
                <w:b w:val="0"/>
                <w:color w:val="17212B"/>
                <w:sz w:val="19"/>
              </w:rPr>
              <w:t>10 minutes</w:t>
            </w:r>
          </w:p>
        </w:tc>
        <w:tc>
          <w:tcPr>
            <w:tcW w:type="dxa" w:w="8150"/>
            <w:vAlign w:val="center"/>
            <w:shd w:fill="FFFFFF"/>
          </w:tcPr>
          <w:p>
            <w:pPr>
              <w:keepNext w:val="0"/>
              <w:spacing w:after="0" w:line="252" w:lineRule="auto"/>
            </w:pPr>
            <w:r>
              <w:rPr>
                <w:rFonts w:ascii="Segoe UI" w:hAnsi="Segoe UI"/>
                <w:b w:val="0"/>
                <w:color w:val="17212B"/>
                <w:sz w:val="19"/>
              </w:rPr>
              <w:t>Confirm the current evidence problem and the people responsible for it.</w:t>
            </w:r>
          </w:p>
        </w:tc>
      </w:tr>
      <w:tr>
        <w:trPr>
          <w:cantSplit/>
        </w:trPr>
        <w:tc>
          <w:tcPr>
            <w:tcW w:type="dxa" w:w="2016"/>
            <w:vAlign w:val="center"/>
            <w:shd w:fill="F0F4F7"/>
          </w:tcPr>
          <w:p>
            <w:pPr>
              <w:keepNext w:val="0"/>
              <w:spacing w:after="0" w:line="252" w:lineRule="auto"/>
            </w:pPr>
            <w:r>
              <w:rPr>
                <w:rFonts w:ascii="Segoe UI" w:hAnsi="Segoe UI"/>
                <w:b w:val="0"/>
                <w:color w:val="17212B"/>
                <w:sz w:val="19"/>
              </w:rPr>
              <w:t>20 minutes</w:t>
            </w:r>
          </w:p>
        </w:tc>
        <w:tc>
          <w:tcPr>
            <w:tcW w:type="dxa" w:w="8150"/>
            <w:vAlign w:val="center"/>
            <w:shd w:fill="F0F4F7"/>
          </w:tcPr>
          <w:p>
            <w:pPr>
              <w:keepNext w:val="0"/>
              <w:spacing w:after="0" w:line="252" w:lineRule="auto"/>
            </w:pPr>
            <w:r>
              <w:rPr>
                <w:rFonts w:ascii="Segoe UI" w:hAnsi="Segoe UI"/>
                <w:b w:val="0"/>
                <w:color w:val="17212B"/>
                <w:sz w:val="19"/>
              </w:rPr>
              <w:t>Demonstrate imports, a reconciliation exception, a historical report, separate approvals and an evidence export.</w:t>
            </w:r>
          </w:p>
        </w:tc>
      </w:tr>
      <w:tr>
        <w:trPr>
          <w:cantSplit/>
        </w:trPr>
        <w:tc>
          <w:tcPr>
            <w:tcW w:type="dxa" w:w="2016"/>
            <w:vAlign w:val="center"/>
            <w:shd w:fill="FFFFFF"/>
          </w:tcPr>
          <w:p>
            <w:pPr>
              <w:keepNext w:val="0"/>
              <w:spacing w:after="0" w:line="252" w:lineRule="auto"/>
            </w:pPr>
            <w:r>
              <w:rPr>
                <w:rFonts w:ascii="Segoe UI" w:hAnsi="Segoe UI"/>
                <w:b w:val="0"/>
                <w:color w:val="17212B"/>
                <w:sz w:val="19"/>
              </w:rPr>
              <w:t>10 minutes</w:t>
            </w:r>
          </w:p>
        </w:tc>
        <w:tc>
          <w:tcPr>
            <w:tcW w:type="dxa" w:w="8150"/>
            <w:vAlign w:val="center"/>
            <w:shd w:fill="FFFFFF"/>
          </w:tcPr>
          <w:p>
            <w:pPr>
              <w:keepNext w:val="0"/>
              <w:spacing w:after="0" w:line="252" w:lineRule="auto"/>
            </w:pPr>
            <w:r>
              <w:rPr>
                <w:rFonts w:ascii="Segoe UI" w:hAnsi="Segoe UI"/>
                <w:b w:val="0"/>
                <w:color w:val="17212B"/>
                <w:sz w:val="19"/>
              </w:rPr>
              <w:t>Agree the proposed pilot cases, data limits, baseline and readiness requirements.</w:t>
            </w:r>
          </w:p>
        </w:tc>
      </w:tr>
      <w:tr>
        <w:trPr>
          <w:cantSplit/>
        </w:trPr>
        <w:tc>
          <w:tcPr>
            <w:tcW w:type="dxa" w:w="2016"/>
            <w:vAlign w:val="center"/>
            <w:shd w:fill="F0F4F7"/>
          </w:tcPr>
          <w:p>
            <w:pPr>
              <w:keepNext w:val="0"/>
              <w:spacing w:after="0" w:line="252" w:lineRule="auto"/>
            </w:pPr>
            <w:r>
              <w:rPr>
                <w:rFonts w:ascii="Segoe UI" w:hAnsi="Segoe UI"/>
                <w:b w:val="0"/>
                <w:color w:val="17212B"/>
                <w:sz w:val="19"/>
              </w:rPr>
              <w:t>5 minutes</w:t>
            </w:r>
          </w:p>
        </w:tc>
        <w:tc>
          <w:tcPr>
            <w:tcW w:type="dxa" w:w="8150"/>
            <w:vAlign w:val="center"/>
            <w:shd w:fill="F0F4F7"/>
          </w:tcPr>
          <w:p>
            <w:pPr>
              <w:keepNext w:val="0"/>
              <w:spacing w:after="0" w:line="252" w:lineRule="auto"/>
            </w:pPr>
            <w:r>
              <w:rPr>
                <w:rFonts w:ascii="Segoe UI" w:hAnsi="Segoe UI"/>
                <w:b w:val="0"/>
                <w:color w:val="17212B"/>
                <w:sz w:val="19"/>
              </w:rPr>
              <w:t>Identify the sponsor, the discovery owner and the information needed for a quotation.</w:t>
            </w:r>
          </w:p>
        </w:tc>
      </w:tr>
    </w:tbl>
    <w:p>
      <w:pPr>
        <w:spacing w:after="20"/>
      </w:pPr>
    </w:p>
    <w:p>
      <w:pPr>
        <w:pStyle w:val="Heading2"/>
      </w:pPr>
      <w:r>
        <w:t>Information to bring to discovery</w:t>
      </w:r>
    </w:p>
    <w:p>
      <w:r>
        <w:t>Bring a description of one recurring review, an anonymised sample of each required file type, the approval roles, typical record volumes and file sizes, the current time spent, and any hosting or security requirements. Do not place live employee or financial records in the public demonstration.</w:t>
      </w:r>
    </w:p>
    <w:p>
      <w:pPr>
        <w:pStyle w:val="Heading2"/>
      </w:pPr>
      <w:r>
        <w:t>Decision requested</w:t>
      </w:r>
    </w:p>
    <w:p>
      <w:r>
        <w:t>Nominate a business sponsor and agree to a discovery workshop. Following discovery, the PeopleLedger team would prepare a written pilot scope and quotation for review. A pilot starts only after scope, data handling, responsibilities, price and acceptance criteria have been agreed.</w:t>
      </w:r>
    </w:p>
    <w:p>
      <w:pPr>
        <w:spacing w:after="140"/>
      </w:pPr>
      <w:hyperlink r:id="rId10">
        <w:r>
          <w:rPr>
            <w:color w:val="174B73"/>
            <w:sz w:val="19"/>
          </w:rPr>
          <w:t>Open the English PeopleLedger demonstration</w:t>
        </w:r>
      </w:hyperlink>
    </w:p>
    <w:p>
      <w:pPr>
        <w:pStyle w:val="Heading2"/>
      </w:pPr>
      <w:r>
        <w:t>References and supporting material</w:t>
      </w:r>
    </w:p>
    <w:p>
      <w:pPr>
        <w:spacing w:after="140"/>
      </w:pPr>
      <w:hyperlink r:id="rId11">
        <w:r>
          <w:rPr>
            <w:color w:val="174B73"/>
            <w:sz w:val="18"/>
          </w:rPr>
          <w:t>[1] Ministry of Manpower  Employment records</w:t>
        </w:r>
      </w:hyperlink>
    </w:p>
    <w:p>
      <w:pPr>
        <w:spacing w:after="140"/>
      </w:pPr>
      <w:hyperlink r:id="rId12">
        <w:r>
          <w:rPr>
            <w:color w:val="174B73"/>
            <w:sz w:val="18"/>
          </w:rPr>
          <w:t>[2] ACRA  Financial reporting duties for directors</w:t>
        </w:r>
      </w:hyperlink>
    </w:p>
    <w:p>
      <w:pPr>
        <w:spacing w:after="140"/>
      </w:pPr>
      <w:hyperlink r:id="rId13">
        <w:r>
          <w:rPr>
            <w:color w:val="174B73"/>
            <w:sz w:val="18"/>
          </w:rPr>
          <w:t>[3] PDPC  Data Protection Obligations</w:t>
        </w:r>
      </w:hyperlink>
    </w:p>
    <w:p>
      <w:pPr>
        <w:spacing w:after="140"/>
      </w:pPr>
      <w:hyperlink r:id="rId14">
        <w:r>
          <w:rPr>
            <w:color w:val="174B73"/>
            <w:sz w:val="18"/>
          </w:rPr>
          <w:t>[4] PeopleLedger  English demonstration and narration</w:t>
        </w:r>
      </w:hyperlink>
    </w:p>
    <w:p>
      <w:r>
        <w:rPr>
          <w:sz w:val="18"/>
        </w:rPr>
        <w:t>[5] Integrated HR and Finance Compliance Platform  Overall System Architecture Design. Version 1.0, 25 September 2026. Provided separately. The architecture describes a proposed AWS and Spring Boot target; the current demonstration uses a different deployment stack.</w:t>
      </w:r>
    </w:p>
    <w:p>
      <w:r>
        <w:rPr>
          <w:sz w:val="17"/>
        </w:rPr>
        <w:t>Public references reviewed on 28 September 2026. Product scope follows the current project documentation. Pilot targets and commercial calculations in this proposal are expressly proposed or illustrative.</w:t>
      </w:r>
    </w:p>
    <w:sectPr w:rsidR="00FC693F" w:rsidRPr="0006063C" w:rsidSect="00034616">
      <w:footerReference w:type="default" r:id="rId9"/>
      <w:pgSz w:w="12240" w:h="15840"/>
      <w:pgMar w:top="922" w:right="1037" w:bottom="922" w:left="1037"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671"/>
        <w:sz w:val="16"/>
      </w:rPr>
      <w:t xml:space="preserve">PeopleLedger Business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60"/>
    </w:pPr>
    <w:rPr>
      <w:rFonts w:ascii="Segoe UI" w:hAnsi="Segoe U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60" w:line="252" w:lineRule="auto"/>
      <w:outlineLvl w:val="0"/>
    </w:pPr>
    <w:rPr>
      <w:rFonts w:asciiTheme="majorHAnsi" w:eastAsiaTheme="majorEastAsia" w:hAnsiTheme="majorHAnsi" w:cstheme="majorBidi" w:ascii="Segoe UI" w:hAnsi="Segoe UI"/>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240" w:after="140" w:line="252" w:lineRule="auto"/>
      <w:outlineLvl w:val="1"/>
    </w:pPr>
    <w:rPr>
      <w:rFonts w:asciiTheme="majorHAnsi" w:eastAsiaTheme="majorEastAsia" w:hAnsiTheme="majorHAnsi" w:cstheme="majorBidi" w:ascii="Segoe UI" w:hAnsi="Segoe UI"/>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Segoe UI" w:hAnsi="Segoe U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60" w:line="252" w:lineRule="auto" w:before="0"/>
      <w:contextualSpacing/>
    </w:pPr>
    <w:rPr>
      <w:rFonts w:asciiTheme="majorHAnsi" w:eastAsiaTheme="majorEastAsia" w:hAnsiTheme="majorHAnsi" w:cstheme="majorBidi" w:ascii="Segoe UI" w:hAnsi="Segoe U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line="252" w:lineRule="auto"/>
    </w:pPr>
    <w:rPr>
      <w:rFonts w:asciiTheme="majorHAnsi" w:eastAsiaTheme="majorEastAsia" w:hAnsiTheme="majorHAnsi" w:cstheme="majorBidi" w:ascii="Segoe UI" w:hAnsi="Segoe UI"/>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4" w:lineRule="auto"/>
      <w:contextualSpacing/>
    </w:pPr>
    <w:rPr>
      <w:rFonts w:ascii="Segoe UI" w:hAnsi="Segoe U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eopleledger-showcase.vercel.app/en/" TargetMode="External"/><Relationship Id="rId11" Type="http://schemas.openxmlformats.org/officeDocument/2006/relationships/hyperlink" Target="https://www.mom.gov.sg/employment-practices/employment-records" TargetMode="External"/><Relationship Id="rId12" Type="http://schemas.openxmlformats.org/officeDocument/2006/relationships/hyperlink" Target="https://www.acra.gov.sg/manage/companies/legal-requirements-common-offences/preparing-financial-statements/financial-reporting-duties-for-directors/" TargetMode="External"/><Relationship Id="rId13" Type="http://schemas.openxmlformats.org/officeDocument/2006/relationships/hyperlink" Target="https://www.pdpc.gov.sg/overview-of-pdpa/the-legislation/personal-data-protection-act/data-protection-obligations" TargetMode="External"/><Relationship Id="rId14" Type="http://schemas.openxmlformats.org/officeDocument/2006/relationships/hyperlink" Target="https://peopleledger-showcase.vercel.app/downloads/PeopleLedger-English-narra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PeopleLedger Business Proposal</dc:title>
  <dc:subject>Controlled customer pilot for integrated HR and finance review</dc:subject>
  <dc:creator>PeopleLedger Project Team</dc:creator>
  <cp:keywords>PeopleLedger, business proposal, HR, finance, evidence, pilot</cp:keywords>
  <dc:description/>
  <cp:lastModifiedBy/>
  <cp:revision>1</cp:revision>
  <dcterms:created xsi:type="dcterms:W3CDTF">2013-12-23T23:15:00Z</dcterms:created>
  <dcterms:modified xsi:type="dcterms:W3CDTF">2013-12-23T23:15:00Z</dcterms:modified>
  <cp:category/>
</cp:coreProperties>
</file>