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55E3" w14:textId="09D2D9AF" w:rsidR="008D360F" w:rsidRPr="001E01B1" w:rsidRDefault="001E01B1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1E01B1">
        <w:br/>
      </w:r>
      <w:r>
        <w:rPr>
          <w:rFonts w:ascii="GuardianSansGR-Regular" w:hAnsi="GuardianSansGR-Regular" w:hint="eastAsia"/>
          <w:color w:val="231F20"/>
          <w:sz w:val="17"/>
          <w:szCs w:val="17"/>
        </w:rPr>
        <w:t>A</w:t>
      </w:r>
      <w:r w:rsidRPr="001E01B1">
        <w:rPr>
          <w:rFonts w:ascii="GuardianSansGR-Regular" w:hAnsi="GuardianSansGR-Regular"/>
          <w:color w:val="231F20"/>
          <w:sz w:val="17"/>
          <w:szCs w:val="17"/>
        </w:rPr>
        <w:t xml:space="preserve">n 80-year-old woman presented with new-onset hazy vision and glare for 5 months after starting </w:t>
      </w:r>
      <w:proofErr w:type="spellStart"/>
      <w:r w:rsidRPr="001E01B1">
        <w:rPr>
          <w:rFonts w:ascii="GuardianSansGR-Regular" w:hAnsi="GuardianSansGR-Regular"/>
          <w:color w:val="231F20"/>
          <w:sz w:val="17"/>
          <w:szCs w:val="17"/>
        </w:rPr>
        <w:t>netarsudil</w:t>
      </w:r>
      <w:proofErr w:type="spellEnd"/>
      <w:r w:rsidRPr="001E01B1">
        <w:rPr>
          <w:rFonts w:ascii="GuardianSansGR-Regular" w:hAnsi="GuardianSansGR-Regular"/>
          <w:color w:val="231F20"/>
          <w:sz w:val="17"/>
          <w:szCs w:val="17"/>
        </w:rPr>
        <w:t xml:space="preserve"> for severe primary open-angle glaucoma. She was noted to have corneal </w:t>
      </w:r>
      <w:proofErr w:type="spellStart"/>
      <w:r w:rsidRPr="001E01B1">
        <w:rPr>
          <w:rFonts w:ascii="GuardianSansGR-Regular" w:hAnsi="GuardianSansGR-Regular"/>
          <w:color w:val="231F20"/>
          <w:sz w:val="17"/>
          <w:szCs w:val="17"/>
        </w:rPr>
        <w:t>verticillata</w:t>
      </w:r>
      <w:proofErr w:type="spellEnd"/>
      <w:r w:rsidRPr="001E01B1">
        <w:rPr>
          <w:rFonts w:ascii="GuardianSansGR-Regular" w:hAnsi="GuardianSansGR-Regular"/>
          <w:color w:val="231F20"/>
          <w:sz w:val="17"/>
          <w:szCs w:val="17"/>
        </w:rPr>
        <w:t xml:space="preserve"> in both eyes and conjunctival hyperemia but no corneal edema. Although the visual acuity remained stable at her baseline of 20/25 OD and 20/20 OS, there were no other findings to explain her symptoms, and her symptoms began to improve just 1 week after discontinuing </w:t>
      </w:r>
      <w:proofErr w:type="spellStart"/>
      <w:r w:rsidRPr="001E01B1">
        <w:rPr>
          <w:rFonts w:ascii="GuardianSansGR-Regular" w:hAnsi="GuardianSansGR-Regular"/>
          <w:color w:val="231F20"/>
          <w:sz w:val="17"/>
          <w:szCs w:val="17"/>
        </w:rPr>
        <w:t>netarsudil</w:t>
      </w:r>
      <w:proofErr w:type="spellEnd"/>
      <w:r w:rsidRPr="001E01B1">
        <w:rPr>
          <w:rFonts w:ascii="GuardianSansGR-Regular" w:hAnsi="GuardianSansGR-Regular"/>
          <w:color w:val="231F20"/>
          <w:sz w:val="17"/>
          <w:szCs w:val="17"/>
        </w:rPr>
        <w:t>.</w:t>
      </w:r>
    </w:p>
    <w:sectPr w:rsidR="008D360F" w:rsidRPr="001E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B1"/>
    <w:rsid w:val="001E01B1"/>
    <w:rsid w:val="008D360F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C249"/>
  <w15:chartTrackingRefBased/>
  <w15:docId w15:val="{0A6928CA-EEF5-4038-8DB1-6AF97BD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01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1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1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1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1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1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1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1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1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01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01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01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01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01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01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01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1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01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01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1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1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01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1B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E01B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E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407</Characters>
  <Application>Microsoft Office Word</Application>
  <DocSecurity>0</DocSecurity>
  <Lines>4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2025-04-13T16:15:00Z</dcterms:created>
  <dcterms:modified xsi:type="dcterms:W3CDTF">2025-04-13T16:16:00Z</dcterms:modified>
</cp:coreProperties>
</file>