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7822E" w14:textId="4639AB9A" w:rsidR="008D360F" w:rsidRPr="00FE6F10" w:rsidRDefault="00FE6F10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A </w:t>
      </w:r>
      <w:r w:rsidRPr="00FE6F10">
        <w:rPr>
          <w:rFonts w:ascii="GuardianSansGR-Regular" w:hAnsi="GuardianSansGR-Regular" w:hint="eastAsia"/>
          <w:color w:val="231F20"/>
          <w:sz w:val="17"/>
          <w:szCs w:val="17"/>
        </w:rPr>
        <w:t>66-year-old female patient with chronic dry eye and punctal plugs (PPs) placed years previously presented 9 months after a bilateral upper and lower eyelid blepharoplasty with a recurrent left lower eyelid granuloma that began 1 week postoperatively and previously resolved after a series of three 5-fluorouracil/triamcinolone injections. Biopsy at the time of recurrence demonstrated necrosis and granulomatous inflammation with thorough exploration revealing a silicone PP</w:t>
      </w:r>
      <w:r>
        <w:rPr>
          <w:rFonts w:ascii="GuardianSansGR-Regular" w:hAnsi="GuardianSansGR-Regular" w:hint="eastAsia"/>
          <w:color w:val="231F20"/>
          <w:sz w:val="17"/>
          <w:szCs w:val="17"/>
        </w:rPr>
        <w:t>.</w:t>
      </w:r>
    </w:p>
    <w:sectPr w:rsidR="008D360F" w:rsidRPr="00FE6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10"/>
    <w:rsid w:val="008D360F"/>
    <w:rsid w:val="00DA350F"/>
    <w:rsid w:val="00E15003"/>
    <w:rsid w:val="00FE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4CAA"/>
  <w15:chartTrackingRefBased/>
  <w15:docId w15:val="{506000F1-5C45-47A5-B371-161A0BF1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6F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F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F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6F1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6F1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6F1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6F1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6F1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6F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6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6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6F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6F1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E6F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6F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6F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6F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6F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6F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6F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6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6F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6F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6F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6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6F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6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412</Characters>
  <Application>Microsoft Office Word</Application>
  <DocSecurity>0</DocSecurity>
  <Lines>4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2025-04-13T17:26:00Z</dcterms:created>
  <dcterms:modified xsi:type="dcterms:W3CDTF">2025-04-13T17:28:00Z</dcterms:modified>
</cp:coreProperties>
</file>