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82FF" w14:textId="0603C273" w:rsidR="008D360F" w:rsidRPr="00DD173B" w:rsidRDefault="00DD173B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DD173B">
        <w:rPr>
          <w:rFonts w:ascii="GuardianSansGR-Regular" w:hAnsi="GuardianSansGR-Regular" w:hint="eastAsia"/>
          <w:color w:val="231F20"/>
          <w:sz w:val="17"/>
          <w:szCs w:val="17"/>
        </w:rPr>
        <w:t xml:space="preserve">A 70-year-old White emmetropic female patient with neovascular age-related macular degeneration had received aflibercept intravitreal injections without complications over years. One day after an uneventful first injection of </w:t>
      </w:r>
      <w:proofErr w:type="spellStart"/>
      <w:r w:rsidRPr="00DD173B">
        <w:rPr>
          <w:rFonts w:ascii="GuardianSansGR-Regular" w:hAnsi="GuardianSansGR-Regular" w:hint="eastAsia"/>
          <w:color w:val="231F20"/>
          <w:sz w:val="17"/>
          <w:szCs w:val="17"/>
        </w:rPr>
        <w:t>faricimab</w:t>
      </w:r>
      <w:proofErr w:type="spellEnd"/>
      <w:r w:rsidRPr="00DD173B">
        <w:rPr>
          <w:rFonts w:ascii="GuardianSansGR-Regular" w:hAnsi="GuardianSansGR-Regular" w:hint="eastAsia"/>
          <w:color w:val="231F20"/>
          <w:sz w:val="17"/>
          <w:szCs w:val="17"/>
        </w:rPr>
        <w:t xml:space="preserve"> using a </w:t>
      </w:r>
      <w:proofErr w:type="spellStart"/>
      <w:r w:rsidRPr="00DD173B">
        <w:rPr>
          <w:rFonts w:ascii="GuardianSansGR-Regular" w:hAnsi="GuardianSansGR-Regular" w:hint="eastAsia"/>
          <w:color w:val="231F20"/>
          <w:sz w:val="17"/>
          <w:szCs w:val="17"/>
        </w:rPr>
        <w:t>superonasal</w:t>
      </w:r>
      <w:proofErr w:type="spellEnd"/>
      <w:r w:rsidRPr="00DD173B">
        <w:rPr>
          <w:rFonts w:ascii="GuardianSansGR-Regular" w:hAnsi="GuardianSansGR-Regular" w:hint="eastAsia"/>
          <w:color w:val="231F20"/>
          <w:sz w:val="17"/>
          <w:szCs w:val="17"/>
        </w:rPr>
        <w:t xml:space="preserve"> pars plana approach and a 30-gauge needle, she presented with pain and a subjective visual field defect. She had stable visual acuity of 20/400 OS, hypotony (intraocular pressure of 3 mm Hg), and a suprachoroidal hemorrhage (SCH). Patching and application of tobramycin-dexamethasone ophthalmic ointment were recommended. The hypotony resolved within days, and the SCH resolved 2 months after injection. Visual acuity remained 20/400 OS.</w:t>
      </w:r>
    </w:p>
    <w:sectPr w:rsidR="008D360F" w:rsidRPr="00DD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3B"/>
    <w:rsid w:val="008D360F"/>
    <w:rsid w:val="00DA350F"/>
    <w:rsid w:val="00DD173B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43A8"/>
  <w15:chartTrackingRefBased/>
  <w15:docId w15:val="{3F62644A-B3D7-41A3-BC35-898EB154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17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7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7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7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7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7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7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7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7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1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1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17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17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17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17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17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17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17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7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1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17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7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17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17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1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601</Characters>
  <Application>Microsoft Office Word</Application>
  <DocSecurity>0</DocSecurity>
  <Lines>8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2025-04-13T18:47:00Z</dcterms:created>
  <dcterms:modified xsi:type="dcterms:W3CDTF">2025-04-13T18:47:00Z</dcterms:modified>
</cp:coreProperties>
</file>