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2D041" w14:textId="70E713C4" w:rsidR="008D360F" w:rsidRPr="00534134" w:rsidRDefault="00534134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534134">
        <w:rPr>
          <w:rFonts w:ascii="GuardianSansGR-Regular" w:hAnsi="GuardianSansGR-Regular" w:hint="eastAsia"/>
          <w:color w:val="231F20"/>
          <w:sz w:val="17"/>
          <w:szCs w:val="17"/>
        </w:rPr>
        <w:t>A 1</w:t>
      </w:r>
      <w:r w:rsidRPr="00534134">
        <w:rPr>
          <w:rFonts w:ascii="GuardianSansGR-Regular" w:hAnsi="GuardianSansGR-Regular"/>
          <w:color w:val="231F20"/>
          <w:sz w:val="17"/>
          <w:szCs w:val="17"/>
        </w:rPr>
        <w:t xml:space="preserve">0-year-old previously healthy female child presented with 1 month of left eye redness and irritation. She had been using ofloxacin eye drops for 2 weeks with continued worsening. On examination, the right eye was normal. The left eye had a granulomatous conjunctivitis with follicles. Dilated examination of both eyes was normal. She had left preauricular lymphadenopathy. She reported recent contact with cats. Serology was positive for Bartonella </w:t>
      </w:r>
      <w:proofErr w:type="spellStart"/>
      <w:r w:rsidRPr="00534134">
        <w:rPr>
          <w:rFonts w:ascii="GuardianSansGR-Regular" w:hAnsi="GuardianSansGR-Regular"/>
          <w:color w:val="231F20"/>
          <w:sz w:val="17"/>
          <w:szCs w:val="17"/>
        </w:rPr>
        <w:t>henselae</w:t>
      </w:r>
      <w:proofErr w:type="spellEnd"/>
      <w:r w:rsidRPr="00534134">
        <w:rPr>
          <w:rFonts w:ascii="GuardianSansGR-Regular" w:hAnsi="GuardianSansGR-Regular"/>
          <w:color w:val="231F20"/>
          <w:sz w:val="17"/>
          <w:szCs w:val="17"/>
        </w:rPr>
        <w:t> immunoglobulin G (titer of 1:256)</w:t>
      </w:r>
      <w:r>
        <w:rPr>
          <w:rFonts w:ascii="GuardianSansGR-Regular" w:hAnsi="GuardianSansGR-Regular" w:hint="eastAsia"/>
          <w:color w:val="231F20"/>
          <w:sz w:val="17"/>
          <w:szCs w:val="17"/>
        </w:rPr>
        <w:t>.</w:t>
      </w:r>
      <w:r w:rsidRPr="00534134">
        <w:rPr>
          <w:rFonts w:ascii="Helvetica" w:hAnsi="Helvetica"/>
          <w:color w:val="333333"/>
        </w:rPr>
        <w:t xml:space="preserve"> </w:t>
      </w:r>
      <w:r w:rsidRPr="00534134">
        <w:rPr>
          <w:rFonts w:ascii="GuardianSansGR-Regular" w:hAnsi="GuardianSansGR-Regular"/>
          <w:color w:val="231F20"/>
          <w:sz w:val="17"/>
          <w:szCs w:val="17"/>
        </w:rPr>
        <w:t>She was treated with doxycycline, 100 mg, by mouth twice a day and rifampin, 300 mg, by mouth twice a day for 14 days, with resolution of the granulomatous lesions after 7 days.</w:t>
      </w:r>
      <w:r w:rsidRPr="00534134">
        <w:rPr>
          <w:rFonts w:ascii="Helvetica" w:hAnsi="Helvetica"/>
          <w:color w:val="333333"/>
        </w:rPr>
        <w:t xml:space="preserve"> </w:t>
      </w:r>
      <w:r w:rsidRPr="00534134">
        <w:rPr>
          <w:rFonts w:ascii="GuardianSansGR-Regular" w:hAnsi="GuardianSansGR-Regular"/>
          <w:color w:val="231F20"/>
          <w:sz w:val="17"/>
          <w:szCs w:val="17"/>
        </w:rPr>
        <w:t>This case was striking due to the prominent multifocal conjunctival granulomas and the rapid resolution after initiation of appropriate therapy.</w:t>
      </w:r>
    </w:p>
    <w:sectPr w:rsidR="008D360F" w:rsidRPr="00534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34"/>
    <w:rsid w:val="00534134"/>
    <w:rsid w:val="005F06C1"/>
    <w:rsid w:val="008D360F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7A55"/>
  <w15:chartTrackingRefBased/>
  <w15:docId w15:val="{C9565059-4ACE-4263-8981-94D0A7CA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41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4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41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41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413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413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413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413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41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4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4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41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413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341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41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41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41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413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4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4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4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4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41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41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41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4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41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413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3413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34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704</Characters>
  <Application>Microsoft Office Word</Application>
  <DocSecurity>0</DocSecurity>
  <Lines>7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2025-04-14T18:59:00Z</dcterms:created>
  <dcterms:modified xsi:type="dcterms:W3CDTF">2025-04-14T19:06:00Z</dcterms:modified>
</cp:coreProperties>
</file>