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10C3B" w14:textId="173BBC46" w:rsidR="008D360F" w:rsidRPr="009610C7" w:rsidRDefault="009610C7">
      <w:pPr>
        <w:rPr>
          <w:rFonts w:ascii="GuardianSansGR-Regular" w:hAnsi="GuardianSansGR-Regular" w:hint="eastAsia"/>
          <w:color w:val="231F20"/>
          <w:sz w:val="17"/>
          <w:szCs w:val="17"/>
        </w:rPr>
      </w:pPr>
      <w:r w:rsidRPr="009610C7">
        <w:rPr>
          <w:rFonts w:ascii="GuardianSansGR-Regular" w:hAnsi="GuardianSansGR-Regular" w:hint="eastAsia"/>
          <w:color w:val="231F20"/>
          <w:sz w:val="17"/>
          <w:szCs w:val="17"/>
        </w:rPr>
        <w:t>A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9610C7">
        <w:rPr>
          <w:rFonts w:ascii="GuardianSansGR-Regular" w:hAnsi="GuardianSansGR-Regular" w:hint="eastAsia"/>
          <w:color w:val="231F20"/>
          <w:sz w:val="17"/>
          <w:szCs w:val="17"/>
        </w:rPr>
        <w:t>nearly 80-year-old patient presented with branch retinal vein occlusion of the left eye and cystoid macular edema, without evidence of capillary nonperfusion. At the baseline visit, their visual acuity was 6/6 (20/20) OD and 6/18 (20/63) OS. Over a 6-year period, the patient received the following interventions: 9 bevacizumab injections, 1 triamcinolone injection, and 7 dexamethasone intraocular implants. During a routine follow-up visit (Figure, A and B). This was asymptomatic and required no treatment.</w:t>
      </w:r>
    </w:p>
    <w:sectPr w:rsidR="008D360F" w:rsidRPr="00961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C7"/>
    <w:rsid w:val="005F06C1"/>
    <w:rsid w:val="008D360F"/>
    <w:rsid w:val="009610C7"/>
    <w:rsid w:val="00D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FE28"/>
  <w15:chartTrackingRefBased/>
  <w15:docId w15:val="{22F2679E-D25B-4FFB-8B60-36F8AB74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610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1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10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10C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10C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10C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10C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10C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10C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10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61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61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10C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10C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610C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610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610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610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610C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61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10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610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1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610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10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10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1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610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610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437</Characters>
  <Application>Microsoft Office Word</Application>
  <DocSecurity>0</DocSecurity>
  <Lines>5</Lines>
  <Paragraphs>2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1</cp:revision>
  <dcterms:created xsi:type="dcterms:W3CDTF">2025-04-15T17:50:00Z</dcterms:created>
  <dcterms:modified xsi:type="dcterms:W3CDTF">2025-04-15T17:50:00Z</dcterms:modified>
</cp:coreProperties>
</file>