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66E00" w14:textId="629B17BD" w:rsidR="008D360F" w:rsidRDefault="00A91B8D">
      <w:pPr>
        <w:rPr>
          <w:rFonts w:ascii="GuardianSansGR-Regular" w:hAnsi="GuardianSansGR-Regular" w:hint="eastAsia"/>
          <w:color w:val="231F20"/>
          <w:sz w:val="17"/>
          <w:szCs w:val="17"/>
        </w:rPr>
      </w:pPr>
      <w:r w:rsidRPr="00A91B8D">
        <w:rPr>
          <w:rFonts w:ascii="GuardianSansGR-Regular" w:hAnsi="GuardianSansGR-Regular" w:hint="eastAsia"/>
          <w:color w:val="231F20"/>
          <w:sz w:val="17"/>
          <w:szCs w:val="17"/>
        </w:rPr>
        <w:t>A 96-year-old woman with neovascular age-related</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macular</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degeneration</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w:t>
      </w:r>
      <w:proofErr w:type="spellStart"/>
      <w:r w:rsidRPr="00A91B8D">
        <w:rPr>
          <w:rFonts w:ascii="GuardianSansGR-Regular" w:hAnsi="GuardianSansGR-Regular" w:hint="eastAsia"/>
          <w:color w:val="231F20"/>
          <w:sz w:val="17"/>
          <w:szCs w:val="17"/>
        </w:rPr>
        <w:t>nAMD</w:t>
      </w:r>
      <w:proofErr w:type="spellEnd"/>
      <w:r w:rsidRPr="00A91B8D">
        <w:rPr>
          <w:rFonts w:ascii="GuardianSansGR-Regular" w:hAnsi="GuardianSansGR-Regular" w:hint="eastAsia"/>
          <w:color w:val="231F20"/>
          <w:sz w:val="17"/>
          <w:szCs w:val="17"/>
        </w:rPr>
        <w:t>)</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presented</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with</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a</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 xml:space="preserve">2-week history of bilateral eye pain and reduced vision 18 days following bilateral intravitreal </w:t>
      </w:r>
      <w:proofErr w:type="spellStart"/>
      <w:r w:rsidRPr="00A91B8D">
        <w:rPr>
          <w:rFonts w:ascii="GuardianSansGR-Regular" w:hAnsi="GuardianSansGR-Regular" w:hint="eastAsia"/>
          <w:color w:val="231F20"/>
          <w:sz w:val="17"/>
          <w:szCs w:val="17"/>
        </w:rPr>
        <w:t>faricimab</w:t>
      </w:r>
      <w:proofErr w:type="spellEnd"/>
      <w:r w:rsidRPr="00A91B8D">
        <w:rPr>
          <w:rFonts w:ascii="GuardianSansGR-Regular" w:hAnsi="GuardianSansGR-Regular" w:hint="eastAsia"/>
          <w:color w:val="231F20"/>
          <w:sz w:val="17"/>
          <w:szCs w:val="17"/>
        </w:rPr>
        <w:t xml:space="preserve"> injections. Before initiating</w:t>
      </w:r>
      <w:r>
        <w:rPr>
          <w:rFonts w:ascii="GuardianSansGR-Regular" w:hAnsi="GuardianSansGR-Regular" w:hint="eastAsia"/>
          <w:color w:val="231F20"/>
          <w:sz w:val="17"/>
          <w:szCs w:val="17"/>
        </w:rPr>
        <w:t xml:space="preserve"> </w:t>
      </w:r>
      <w:proofErr w:type="spellStart"/>
      <w:r w:rsidRPr="00A91B8D">
        <w:rPr>
          <w:rFonts w:ascii="GuardianSansGR-Regular" w:hAnsi="GuardianSansGR-Regular" w:hint="eastAsia"/>
          <w:color w:val="231F20"/>
          <w:sz w:val="17"/>
          <w:szCs w:val="17"/>
        </w:rPr>
        <w:t>faricimab</w:t>
      </w:r>
      <w:proofErr w:type="spellEnd"/>
      <w:r w:rsidRPr="00A91B8D">
        <w:rPr>
          <w:rFonts w:ascii="GuardianSansGR-Regular" w:hAnsi="GuardianSansGR-Regular" w:hint="eastAsia"/>
          <w:color w:val="231F20"/>
          <w:sz w:val="17"/>
          <w:szCs w:val="17"/>
        </w:rPr>
        <w:t>,</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she</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had</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received</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15</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ranibizumab</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injection</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 xml:space="preserve">sand then 38 aflibercept injections in the right eye, and 21 aflibercept injections in the left eye over 8 years. At her last bilateral </w:t>
      </w:r>
      <w:proofErr w:type="spellStart"/>
      <w:r w:rsidRPr="00A91B8D">
        <w:rPr>
          <w:rFonts w:ascii="GuardianSansGR-Regular" w:hAnsi="GuardianSansGR-Regular" w:hint="eastAsia"/>
          <w:color w:val="231F20"/>
          <w:sz w:val="17"/>
          <w:szCs w:val="17"/>
        </w:rPr>
        <w:t>faricimab</w:t>
      </w:r>
      <w:proofErr w:type="spellEnd"/>
      <w:r w:rsidRPr="00A91B8D">
        <w:rPr>
          <w:rFonts w:ascii="GuardianSansGR-Regular" w:hAnsi="GuardianSansGR-Regular" w:hint="eastAsia"/>
          <w:color w:val="231F20"/>
          <w:sz w:val="17"/>
          <w:szCs w:val="17"/>
        </w:rPr>
        <w:t xml:space="preserve"> injections, visual acuity</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(VA) was 20/120ODand 1/36OS. She had no history of intraocular inflammation</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 xml:space="preserve">(IOI), systemic autoimmune disease, or medications associated with retinal vasculitis. Presenting VA was 20/160 OD and counting fingers OS, with intraocular pressure of 31 mmHg OU, </w:t>
      </w:r>
      <w:proofErr w:type="spellStart"/>
      <w:r w:rsidRPr="00A91B8D">
        <w:rPr>
          <w:rFonts w:ascii="GuardianSansGR-Regular" w:hAnsi="GuardianSansGR-Regular" w:hint="eastAsia"/>
          <w:color w:val="231F20"/>
          <w:sz w:val="17"/>
          <w:szCs w:val="17"/>
        </w:rPr>
        <w:t>keratic</w:t>
      </w:r>
      <w:proofErr w:type="spellEnd"/>
      <w:r w:rsidRPr="00A91B8D">
        <w:rPr>
          <w:rFonts w:ascii="GuardianSansGR-Regular" w:hAnsi="GuardianSansGR-Regular" w:hint="eastAsia"/>
          <w:color w:val="231F20"/>
          <w:sz w:val="17"/>
          <w:szCs w:val="17"/>
        </w:rPr>
        <w:t xml:space="preserve"> precipitates, and bilateral anterior and posterior vitreous cells. Attenuation of retinal arterioles and veins was associated with2 blot hemorrhages and pallor of the inferotemporal retina without emboli in the left eye.</w:t>
      </w:r>
    </w:p>
    <w:p w14:paraId="644BA1BC" w14:textId="045D8BBC" w:rsidR="00A91B8D" w:rsidRPr="00A91B8D" w:rsidRDefault="00A91B8D" w:rsidP="005E41B1">
      <w:pPr>
        <w:rPr>
          <w:rFonts w:ascii="GuardianSansGR-Regular" w:hAnsi="GuardianSansGR-Regular" w:hint="eastAsia"/>
          <w:color w:val="231F20"/>
          <w:sz w:val="17"/>
          <w:szCs w:val="17"/>
        </w:rPr>
      </w:pPr>
      <w:r w:rsidRPr="00A91B8D">
        <w:rPr>
          <w:rFonts w:ascii="GuardianSansGR-Regular" w:hAnsi="GuardianSansGR-Regular" w:hint="eastAsia"/>
          <w:color w:val="231F20"/>
          <w:sz w:val="17"/>
          <w:szCs w:val="17"/>
        </w:rPr>
        <w:t>Optical coherence tomography angiography had choriocapillaris flow voids, more marked in the left eye</w:t>
      </w:r>
      <w:r w:rsidR="0012180F">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(Figure 1B). Ultra-wide</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field</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fundus</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fluorescein</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angiogram</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(UWF-FFA)</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demonstrated peripheral</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retinal venous,</w:t>
      </w:r>
      <w:r w:rsidR="0012180F">
        <w:rPr>
          <w:rFonts w:ascii="GuardianSansGR-Regular" w:hAnsi="GuardianSansGR-Regular" w:hint="eastAsia"/>
          <w:color w:val="231F20"/>
          <w:sz w:val="17"/>
          <w:szCs w:val="17"/>
        </w:rPr>
        <w:t xml:space="preserve"> </w:t>
      </w:r>
      <w:r w:rsidR="0012180F" w:rsidRPr="00A91B8D">
        <w:rPr>
          <w:rFonts w:ascii="GuardianSansGR-Regular" w:hAnsi="GuardianSansGR-Regular" w:hint="eastAsia"/>
          <w:color w:val="231F20"/>
          <w:sz w:val="17"/>
          <w:szCs w:val="17"/>
        </w:rPr>
        <w:t>arteriolar,</w:t>
      </w:r>
      <w:r>
        <w:rPr>
          <w:rFonts w:ascii="GuardianSansGR-Regular" w:hAnsi="GuardianSansGR-Regular" w:hint="eastAsia"/>
          <w:color w:val="231F20"/>
          <w:sz w:val="17"/>
          <w:szCs w:val="17"/>
        </w:rPr>
        <w:t xml:space="preserve"> </w:t>
      </w:r>
      <w:r w:rsidR="00CC7BCD" w:rsidRPr="00A91B8D">
        <w:rPr>
          <w:rFonts w:ascii="GuardianSansGR-Regular" w:hAnsi="GuardianSansGR-Regular" w:hint="eastAsia"/>
          <w:color w:val="231F20"/>
          <w:sz w:val="17"/>
          <w:szCs w:val="17"/>
        </w:rPr>
        <w:t>and</w:t>
      </w:r>
      <w:r>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capillary nonperfusion and hyperfluorescent leakage of retinal veins, arteries, and optic discs, with veins more involved than arteries and the left eye more affected than the right. Results for chest radiography, syphilis serology, QuantiFERON gold, rheumatoid factor, angiotensin-converting enzyme, antinuclear antibody, and antineutrophilic cytoplasmic anti-body were unremarkable. With only mild inflammation,</w:t>
      </w:r>
      <w:r w:rsidR="005E41B1">
        <w:rPr>
          <w:rFonts w:ascii="GuardianSansGR-Regular" w:hAnsi="GuardianSansGR-Regular" w:hint="eastAsia"/>
          <w:color w:val="231F20"/>
          <w:sz w:val="17"/>
          <w:szCs w:val="17"/>
        </w:rPr>
        <w:t xml:space="preserve"> </w:t>
      </w:r>
      <w:r w:rsidRPr="00A91B8D">
        <w:rPr>
          <w:rFonts w:ascii="GuardianSansGR-Regular" w:hAnsi="GuardianSansGR-Regular" w:hint="eastAsia"/>
          <w:color w:val="231F20"/>
          <w:sz w:val="17"/>
          <w:szCs w:val="17"/>
        </w:rPr>
        <w:t>nei</w:t>
      </w:r>
      <w:r w:rsidR="005E41B1" w:rsidRPr="005E41B1">
        <w:rPr>
          <w:rFonts w:ascii="GuardianSansGR-Regular" w:hAnsi="GuardianSansGR-Regular" w:hint="eastAsia"/>
          <w:color w:val="231F20"/>
          <w:sz w:val="17"/>
          <w:szCs w:val="17"/>
        </w:rPr>
        <w:t>ther anterior nor vitreous taps for bacterial, fungal, or viral polymerase chain reaction analyses were performed.</w:t>
      </w:r>
    </w:p>
    <w:sectPr w:rsidR="00A91B8D" w:rsidRPr="00A91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833F2" w14:textId="77777777" w:rsidR="006A726F" w:rsidRDefault="006A726F" w:rsidP="00316347">
      <w:pPr>
        <w:spacing w:after="0" w:line="240" w:lineRule="auto"/>
        <w:rPr>
          <w:rFonts w:hint="eastAsia"/>
        </w:rPr>
      </w:pPr>
      <w:r>
        <w:separator/>
      </w:r>
    </w:p>
  </w:endnote>
  <w:endnote w:type="continuationSeparator" w:id="0">
    <w:p w14:paraId="3B057A23" w14:textId="77777777" w:rsidR="006A726F" w:rsidRDefault="006A726F" w:rsidP="0031634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47D6B" w14:textId="77777777" w:rsidR="006A726F" w:rsidRDefault="006A726F" w:rsidP="00316347">
      <w:pPr>
        <w:spacing w:after="0" w:line="240" w:lineRule="auto"/>
        <w:rPr>
          <w:rFonts w:hint="eastAsia"/>
        </w:rPr>
      </w:pPr>
      <w:r>
        <w:separator/>
      </w:r>
    </w:p>
  </w:footnote>
  <w:footnote w:type="continuationSeparator" w:id="0">
    <w:p w14:paraId="5E54CDFE" w14:textId="77777777" w:rsidR="006A726F" w:rsidRDefault="006A726F" w:rsidP="0031634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8D"/>
    <w:rsid w:val="000509FB"/>
    <w:rsid w:val="000A71F9"/>
    <w:rsid w:val="0012180F"/>
    <w:rsid w:val="002565C9"/>
    <w:rsid w:val="00316347"/>
    <w:rsid w:val="003F6FED"/>
    <w:rsid w:val="005E41B1"/>
    <w:rsid w:val="006A726F"/>
    <w:rsid w:val="007C5AAC"/>
    <w:rsid w:val="008D360F"/>
    <w:rsid w:val="008E07FD"/>
    <w:rsid w:val="00A91B8D"/>
    <w:rsid w:val="00B83B0D"/>
    <w:rsid w:val="00CC7BCD"/>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9670D"/>
  <w15:chartTrackingRefBased/>
  <w15:docId w15:val="{B3F6D3A6-CD79-49B3-B2E5-C5F269FF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91B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91B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91B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91B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91B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91B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91B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1B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91B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1B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91B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91B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91B8D"/>
    <w:rPr>
      <w:rFonts w:cstheme="majorBidi"/>
      <w:color w:val="0F4761" w:themeColor="accent1" w:themeShade="BF"/>
      <w:sz w:val="28"/>
      <w:szCs w:val="28"/>
    </w:rPr>
  </w:style>
  <w:style w:type="character" w:customStyle="1" w:styleId="50">
    <w:name w:val="标题 5 字符"/>
    <w:basedOn w:val="a0"/>
    <w:link w:val="5"/>
    <w:uiPriority w:val="9"/>
    <w:semiHidden/>
    <w:rsid w:val="00A91B8D"/>
    <w:rPr>
      <w:rFonts w:cstheme="majorBidi"/>
      <w:color w:val="0F4761" w:themeColor="accent1" w:themeShade="BF"/>
      <w:sz w:val="24"/>
    </w:rPr>
  </w:style>
  <w:style w:type="character" w:customStyle="1" w:styleId="60">
    <w:name w:val="标题 6 字符"/>
    <w:basedOn w:val="a0"/>
    <w:link w:val="6"/>
    <w:uiPriority w:val="9"/>
    <w:semiHidden/>
    <w:rsid w:val="00A91B8D"/>
    <w:rPr>
      <w:rFonts w:cstheme="majorBidi"/>
      <w:b/>
      <w:bCs/>
      <w:color w:val="0F4761" w:themeColor="accent1" w:themeShade="BF"/>
    </w:rPr>
  </w:style>
  <w:style w:type="character" w:customStyle="1" w:styleId="70">
    <w:name w:val="标题 7 字符"/>
    <w:basedOn w:val="a0"/>
    <w:link w:val="7"/>
    <w:uiPriority w:val="9"/>
    <w:semiHidden/>
    <w:rsid w:val="00A91B8D"/>
    <w:rPr>
      <w:rFonts w:cstheme="majorBidi"/>
      <w:b/>
      <w:bCs/>
      <w:color w:val="595959" w:themeColor="text1" w:themeTint="A6"/>
    </w:rPr>
  </w:style>
  <w:style w:type="character" w:customStyle="1" w:styleId="80">
    <w:name w:val="标题 8 字符"/>
    <w:basedOn w:val="a0"/>
    <w:link w:val="8"/>
    <w:uiPriority w:val="9"/>
    <w:semiHidden/>
    <w:rsid w:val="00A91B8D"/>
    <w:rPr>
      <w:rFonts w:cstheme="majorBidi"/>
      <w:color w:val="595959" w:themeColor="text1" w:themeTint="A6"/>
    </w:rPr>
  </w:style>
  <w:style w:type="character" w:customStyle="1" w:styleId="90">
    <w:name w:val="标题 9 字符"/>
    <w:basedOn w:val="a0"/>
    <w:link w:val="9"/>
    <w:uiPriority w:val="9"/>
    <w:semiHidden/>
    <w:rsid w:val="00A91B8D"/>
    <w:rPr>
      <w:rFonts w:eastAsiaTheme="majorEastAsia" w:cstheme="majorBidi"/>
      <w:color w:val="595959" w:themeColor="text1" w:themeTint="A6"/>
    </w:rPr>
  </w:style>
  <w:style w:type="paragraph" w:styleId="a3">
    <w:name w:val="Title"/>
    <w:basedOn w:val="a"/>
    <w:next w:val="a"/>
    <w:link w:val="a4"/>
    <w:uiPriority w:val="10"/>
    <w:qFormat/>
    <w:rsid w:val="00A91B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1B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1B8D"/>
    <w:pPr>
      <w:spacing w:before="160"/>
      <w:jc w:val="center"/>
    </w:pPr>
    <w:rPr>
      <w:i/>
      <w:iCs/>
      <w:color w:val="404040" w:themeColor="text1" w:themeTint="BF"/>
    </w:rPr>
  </w:style>
  <w:style w:type="character" w:customStyle="1" w:styleId="a8">
    <w:name w:val="引用 字符"/>
    <w:basedOn w:val="a0"/>
    <w:link w:val="a7"/>
    <w:uiPriority w:val="29"/>
    <w:rsid w:val="00A91B8D"/>
    <w:rPr>
      <w:i/>
      <w:iCs/>
      <w:color w:val="404040" w:themeColor="text1" w:themeTint="BF"/>
    </w:rPr>
  </w:style>
  <w:style w:type="paragraph" w:styleId="a9">
    <w:name w:val="List Paragraph"/>
    <w:basedOn w:val="a"/>
    <w:uiPriority w:val="34"/>
    <w:qFormat/>
    <w:rsid w:val="00A91B8D"/>
    <w:pPr>
      <w:ind w:left="720"/>
      <w:contextualSpacing/>
    </w:pPr>
  </w:style>
  <w:style w:type="character" w:styleId="aa">
    <w:name w:val="Intense Emphasis"/>
    <w:basedOn w:val="a0"/>
    <w:uiPriority w:val="21"/>
    <w:qFormat/>
    <w:rsid w:val="00A91B8D"/>
    <w:rPr>
      <w:i/>
      <w:iCs/>
      <w:color w:val="0F4761" w:themeColor="accent1" w:themeShade="BF"/>
    </w:rPr>
  </w:style>
  <w:style w:type="paragraph" w:styleId="ab">
    <w:name w:val="Intense Quote"/>
    <w:basedOn w:val="a"/>
    <w:next w:val="a"/>
    <w:link w:val="ac"/>
    <w:uiPriority w:val="30"/>
    <w:qFormat/>
    <w:rsid w:val="00A9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91B8D"/>
    <w:rPr>
      <w:i/>
      <w:iCs/>
      <w:color w:val="0F4761" w:themeColor="accent1" w:themeShade="BF"/>
    </w:rPr>
  </w:style>
  <w:style w:type="character" w:styleId="ad">
    <w:name w:val="Intense Reference"/>
    <w:basedOn w:val="a0"/>
    <w:uiPriority w:val="32"/>
    <w:qFormat/>
    <w:rsid w:val="00A91B8D"/>
    <w:rPr>
      <w:b/>
      <w:bCs/>
      <w:smallCaps/>
      <w:color w:val="0F4761" w:themeColor="accent1" w:themeShade="BF"/>
      <w:spacing w:val="5"/>
    </w:rPr>
  </w:style>
  <w:style w:type="paragraph" w:styleId="ae">
    <w:name w:val="header"/>
    <w:basedOn w:val="a"/>
    <w:link w:val="af"/>
    <w:uiPriority w:val="99"/>
    <w:unhideWhenUsed/>
    <w:rsid w:val="0031634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16347"/>
    <w:rPr>
      <w:sz w:val="18"/>
      <w:szCs w:val="18"/>
    </w:rPr>
  </w:style>
  <w:style w:type="paragraph" w:styleId="af0">
    <w:name w:val="footer"/>
    <w:basedOn w:val="a"/>
    <w:link w:val="af1"/>
    <w:uiPriority w:val="99"/>
    <w:unhideWhenUsed/>
    <w:rsid w:val="0031634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163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243</Words>
  <Characters>1458</Characters>
  <Application>Microsoft Office Word</Application>
  <DocSecurity>0</DocSecurity>
  <Lines>16</Lines>
  <Paragraphs>2</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俊宏 陈</cp:lastModifiedBy>
  <cp:revision>3</cp:revision>
  <dcterms:created xsi:type="dcterms:W3CDTF">2025-04-11T13:33:00Z</dcterms:created>
  <dcterms:modified xsi:type="dcterms:W3CDTF">2025-06-10T08:57:00Z</dcterms:modified>
</cp:coreProperties>
</file>