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3B06" w14:textId="4B59A30A" w:rsidR="008D360F" w:rsidRDefault="006D4FC3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A 55-year-old female with a known right parietooccipital World Health Organization grade IV glioblastoma presented to the eye emergency department for 2 weeks of bilateral floaters followed by eye pain, photophobia, and blurry vision. She had previously undergone partial tumor resection and 1 round of chemotherapy. A direct infusion of her-pes simplex virus type 1(HSV-1), C134 oncolytic virus was injected into her glioblastoma as part of a clinical trial 3 weeks before presentation.</w:t>
      </w:r>
    </w:p>
    <w:p w14:paraId="144F7B3A" w14:textId="5B2A3FAD" w:rsidR="006D4FC3" w:rsidRDefault="006D4FC3" w:rsidP="006D4FC3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 xml:space="preserve">Her presenting visual acuity was 20/400ODand 20/40OS. Corneal edema and 3+ anterior chamber cell </w:t>
      </w:r>
      <w:proofErr w:type="gramStart"/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were</w:t>
      </w:r>
      <w:proofErr w:type="gramEnd"/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 xml:space="preserve"> present in both eyes. </w:t>
      </w:r>
      <w:proofErr w:type="spellStart"/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Vitritis</w:t>
      </w:r>
      <w:proofErr w:type="spellEnd"/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 xml:space="preserve"> obscured details of the fundi, but peripheral retinal whitening and perivascular hemorrhages were appreciable bilaterally. Optical coherence tomography of the maculae showed intraretinal and subretinal fluid.</w:t>
      </w:r>
    </w:p>
    <w:p w14:paraId="4C96AAB7" w14:textId="72A8BCCB" w:rsidR="006D4FC3" w:rsidRPr="006D4FC3" w:rsidRDefault="006D4FC3" w:rsidP="006D4FC3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 xml:space="preserve">The patient was admitted for intravenous acyclovir. A diagnostic anterior chamber </w:t>
      </w:r>
      <w:proofErr w:type="gramStart"/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ap</w:t>
      </w:r>
      <w:proofErr w:type="gramEnd"/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and bilateral intravitreal foscarnet injections were performed. Serological infectious and autoimmune testing was negative.</w:t>
      </w:r>
    </w:p>
    <w:p w14:paraId="379C27DF" w14:textId="421C678C" w:rsidR="00AC3960" w:rsidRPr="00AC3960" w:rsidRDefault="006D4FC3" w:rsidP="00AC3960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6D4FC3">
        <w:rPr>
          <w:rFonts w:ascii="GuardianSansGR-Regular" w:hAnsi="GuardianSansGR-Regular" w:hint="eastAsia"/>
          <w:color w:val="231F20"/>
          <w:sz w:val="17"/>
          <w:szCs w:val="17"/>
        </w:rPr>
        <w:t>One day after admission, a rhegmatogenous retinal detachment developed in the right eye and a pars plana vitrec</w:t>
      </w:r>
      <w:r w:rsidR="00AC3960" w:rsidRPr="00AC3960">
        <w:rPr>
          <w:rFonts w:ascii="GuardianSansGR-Regular" w:hAnsi="GuardianSansGR-Regular" w:hint="eastAsia"/>
          <w:color w:val="231F20"/>
          <w:sz w:val="17"/>
          <w:szCs w:val="17"/>
        </w:rPr>
        <w:t>tomy with retinal detachment repair and silicone oil insertion was performed. Intraoperative pure vitreous samples revealed more than 1 million copies/mL of HSV. Subsequent specialized polymerase chain reaction</w:t>
      </w:r>
      <w:r w:rsidR="008E7B0F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="00AC3960" w:rsidRPr="00AC3960">
        <w:rPr>
          <w:rFonts w:ascii="GuardianSansGR-Regular" w:hAnsi="GuardianSansGR-Regular" w:hint="eastAsia"/>
          <w:color w:val="231F20"/>
          <w:sz w:val="17"/>
          <w:szCs w:val="17"/>
        </w:rPr>
        <w:t>(PCR) of these samples confirmed the presence of HSV-1, C134.</w:t>
      </w:r>
    </w:p>
    <w:p w14:paraId="037CEC8E" w14:textId="464B77E9" w:rsidR="006D4FC3" w:rsidRDefault="00AC3960" w:rsidP="00AC3960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AC3960">
        <w:rPr>
          <w:rFonts w:ascii="GuardianSansGR-Regular" w:hAnsi="GuardianSansGR-Regular" w:hint="eastAsia"/>
          <w:color w:val="231F20"/>
          <w:sz w:val="17"/>
          <w:szCs w:val="17"/>
        </w:rPr>
        <w:t>Biweekly intravitreal antiviral injections were administered for 3 weeks</w:t>
      </w:r>
      <w:r w:rsidR="008E7B0F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AC3960">
        <w:rPr>
          <w:rFonts w:ascii="GuardianSansGR-Regular" w:hAnsi="GuardianSansGR-Regular" w:hint="eastAsia"/>
          <w:color w:val="231F20"/>
          <w:sz w:val="17"/>
          <w:szCs w:val="17"/>
        </w:rPr>
        <w:t>(alternating ganciclovir and foscarnet).</w:t>
      </w:r>
      <w:r w:rsidR="008E7B0F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="008E7B0F" w:rsidRPr="00AC3960">
        <w:rPr>
          <w:rFonts w:ascii="GuardianSansGR-Regular" w:hAnsi="GuardianSansGR-Regular" w:hint="eastAsia"/>
          <w:color w:val="231F20"/>
          <w:sz w:val="17"/>
          <w:szCs w:val="17"/>
        </w:rPr>
        <w:t>Prednisone</w:t>
      </w:r>
      <w:r w:rsidRPr="00AC3960">
        <w:rPr>
          <w:rFonts w:ascii="GuardianSansGR-Regular" w:hAnsi="GuardianSansGR-Regular" w:hint="eastAsia"/>
          <w:color w:val="231F20"/>
          <w:sz w:val="17"/>
          <w:szCs w:val="17"/>
        </w:rPr>
        <w:t>, 60 mg, by mouth was initiated after 2 days of antiviral therapy. The patient was monitored in the intensive care unit for 6 days before discharge and given valacyclovir, 2 g, by mouth three times daily.</w:t>
      </w:r>
    </w:p>
    <w:p w14:paraId="18B62CF2" w14:textId="1840FB7B" w:rsidR="008E7B0F" w:rsidRPr="006D4FC3" w:rsidRDefault="008E7B0F" w:rsidP="00AC3960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8E7B0F">
        <w:rPr>
          <w:rFonts w:ascii="GuardianSansGR-Regular" w:hAnsi="GuardianSansGR-Regular" w:hint="eastAsia"/>
          <w:color w:val="231F20"/>
          <w:sz w:val="17"/>
          <w:szCs w:val="17"/>
        </w:rPr>
        <w:t>Over a 3-month period, she underwent 3 vitrectomies in the right eye and 2 in the left eye, repairing rhegmatogenous retinal detachments with proliferative vitreoretinopathy.</w:t>
      </w:r>
    </w:p>
    <w:sectPr w:rsidR="008E7B0F" w:rsidRPr="006D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3"/>
    <w:rsid w:val="006D4FC3"/>
    <w:rsid w:val="008D360F"/>
    <w:rsid w:val="008E07FD"/>
    <w:rsid w:val="008E7B0F"/>
    <w:rsid w:val="00A97D54"/>
    <w:rsid w:val="00AC3960"/>
    <w:rsid w:val="00DA350F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48269"/>
  <w15:chartTrackingRefBased/>
  <w15:docId w15:val="{E347A014-5B5E-40F4-95C7-203FA92A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4F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F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F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F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FC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F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F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F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F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4F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4F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4F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4F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4F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4F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4F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F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4F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4F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F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F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4F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275</Words>
  <Characters>1653</Characters>
  <Application>Microsoft Office Word</Application>
  <DocSecurity>0</DocSecurity>
  <Lines>19</Lines>
  <Paragraphs>6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2025-04-11T15:51:00Z</dcterms:created>
  <dcterms:modified xsi:type="dcterms:W3CDTF">2025-04-12T10:24:00Z</dcterms:modified>
</cp:coreProperties>
</file>