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3436" w14:textId="1D7D89F9" w:rsidR="007760DE" w:rsidRDefault="007760DE" w:rsidP="007760DE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An 11-year-old boy </w:t>
      </w:r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presented with direct blunt trauma to the left eye due to an airsoft gun injury. The initial examination revealed retinal hemorrhages and dense anterior chamber inflammation without globe rupture; his best- corrected vision was limited to counting fingers OS. After intense every-1-hour topical corticosteroid treatment with a taper, the inflammation resolved, revealing a large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 xml:space="preserve">temporal </w:t>
      </w:r>
      <w:proofErr w:type="spellStart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iridodialysis</w:t>
      </w:r>
      <w:proofErr w:type="spellEnd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 xml:space="preserve"> with a nasally displaced iris, which is not a common finding in airsoft gun injuries or in patients with an intact lens capsule. Notably, a vitreous strand escaped through the </w:t>
      </w:r>
      <w:proofErr w:type="spellStart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iridodialysis</w:t>
      </w:r>
      <w:proofErr w:type="spellEnd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 xml:space="preserve">, traversing superiorly across the </w:t>
      </w:r>
      <w:proofErr w:type="spellStart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pseudopupil</w:t>
      </w:r>
      <w:proofErr w:type="spellEnd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, which is also not a common finding.</w:t>
      </w:r>
      <w:r w:rsidR="00045540">
        <w:rPr>
          <w:rFonts w:ascii="GuardianSansGR-Regular" w:hAnsi="GuardianSansGR-Regular" w:hint="eastAsia"/>
          <w:color w:val="231F20"/>
          <w:sz w:val="17"/>
          <w:szCs w:val="17"/>
          <w:vertAlign w:val="superscript"/>
        </w:rPr>
        <w:t xml:space="preserve"> </w:t>
      </w:r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A zonular dehiscence from 3 to 4 o</w:t>
      </w:r>
      <w:proofErr w:type="gramStart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’</w:t>
      </w:r>
      <w:proofErr w:type="gramEnd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 xml:space="preserve">clock and a small anterior subcapsular cataract in the </w:t>
      </w:r>
      <w:proofErr w:type="spellStart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>iridodialysis</w:t>
      </w:r>
      <w:proofErr w:type="spellEnd"/>
      <w:r w:rsidRPr="007760DE">
        <w:rPr>
          <w:rFonts w:ascii="GuardianSansGR-Regular" w:hAnsi="GuardianSansGR-Regular" w:hint="eastAsia"/>
          <w:color w:val="231F20"/>
          <w:sz w:val="17"/>
          <w:szCs w:val="17"/>
        </w:rPr>
        <w:t xml:space="preserve"> region were also detected. Despite these complications, the patient retained a visual acuity of 20/25 OS.</w:t>
      </w:r>
    </w:p>
    <w:p w14:paraId="4242DB3D" w14:textId="162B9336" w:rsidR="005C70F8" w:rsidRDefault="005C70F8" w:rsidP="007760DE">
      <w:pPr>
        <w:rPr>
          <w:rFonts w:hint="eastAsia"/>
        </w:rPr>
      </w:pPr>
    </w:p>
    <w:sectPr w:rsidR="005C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ED1CF" w14:textId="77777777" w:rsidR="00DA18A7" w:rsidRDefault="00DA18A7" w:rsidP="00C57D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1E779F" w14:textId="77777777" w:rsidR="00DA18A7" w:rsidRDefault="00DA18A7" w:rsidP="00C57D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0DDEC" w14:textId="77777777" w:rsidR="00DA18A7" w:rsidRDefault="00DA18A7" w:rsidP="00C57D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3AA4C6" w14:textId="77777777" w:rsidR="00DA18A7" w:rsidRDefault="00DA18A7" w:rsidP="00C57D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E"/>
    <w:rsid w:val="00045540"/>
    <w:rsid w:val="000C4102"/>
    <w:rsid w:val="00132CE7"/>
    <w:rsid w:val="00524FE3"/>
    <w:rsid w:val="005C70F8"/>
    <w:rsid w:val="00702CF9"/>
    <w:rsid w:val="007760DE"/>
    <w:rsid w:val="008D360F"/>
    <w:rsid w:val="008E07FD"/>
    <w:rsid w:val="00990555"/>
    <w:rsid w:val="00C57DE7"/>
    <w:rsid w:val="00DA18A7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220F6"/>
  <w15:chartTrackingRefBased/>
  <w15:docId w15:val="{7B1A027B-2F90-4A90-8CEE-03BC8DEE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60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0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0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0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0D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0D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0D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0D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0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60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60D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60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60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60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60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60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0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60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60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60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60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60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60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7D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7D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7D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7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777</Characters>
  <Application>Microsoft Office Word</Application>
  <DocSecurity>0</DocSecurity>
  <Lines>9</Lines>
  <Paragraphs>3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4</cp:revision>
  <dcterms:created xsi:type="dcterms:W3CDTF">2025-04-10T13:06:00Z</dcterms:created>
  <dcterms:modified xsi:type="dcterms:W3CDTF">2025-04-12T09:41:00Z</dcterms:modified>
</cp:coreProperties>
</file>