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DB00" w14:textId="0B8E4A2D" w:rsidR="008D360F" w:rsidRDefault="008F351B">
      <w:pPr>
        <w:rPr>
          <w:rFonts w:hint="eastAsia"/>
        </w:rPr>
      </w:pPr>
      <w:bookmarkStart w:id="0" w:name="OLE_LINK1"/>
      <w:r>
        <w:rPr>
          <w:rFonts w:ascii="GuardianSans-Semibold" w:hAnsi="GuardianSans-Semibold"/>
          <w:color w:val="379A40"/>
          <w:sz w:val="17"/>
          <w:szCs w:val="17"/>
        </w:rPr>
        <w:t xml:space="preserve">A 71-year-old </w:t>
      </w:r>
      <w:r>
        <w:rPr>
          <w:rFonts w:ascii="GuardianSansGR-Regular" w:hAnsi="GuardianSansGR-Regular"/>
          <w:color w:val="231F20"/>
          <w:sz w:val="17"/>
          <w:szCs w:val="17"/>
        </w:rPr>
        <w:t>healthy White male presented in 2010 with intermittent redness in the right eye nasally for 10 years. On examination, corrected visual acuity was 20/25 OU. Slitlamp examination revealed an elevated yellow-pink conjunctival lesion in the right eye nasally with intrinsic vascularity and hemorrhage and normal left eye. Conjunctival biopsy of the right eye revealed subconjunctival amyloidosis with equal staining of κ and λ light chains. Follow-up examinations showed slow disease worsening over 13 years with diffuse amyloid infiltration of the conjunctiva overhanging the cornea for 360° in both eyes. At last visit, the patient was asymptomatic, and corrected visual acuity was 20/50 OU. Yearly systemic monitoring for amyloidosis and serum protein electrophoresis has been negative.</w:t>
      </w:r>
      <w:bookmarkEnd w:id="0"/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1B"/>
    <w:rsid w:val="00116413"/>
    <w:rsid w:val="00330EA8"/>
    <w:rsid w:val="008D360F"/>
    <w:rsid w:val="008E07FD"/>
    <w:rsid w:val="008F351B"/>
    <w:rsid w:val="00C06D8A"/>
    <w:rsid w:val="00DA350F"/>
    <w:rsid w:val="00ED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7A225"/>
  <w15:chartTrackingRefBased/>
  <w15:docId w15:val="{5BF2765B-474E-4DA4-B779-B22B835C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35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5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351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351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51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351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51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51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35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3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3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351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351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351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35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35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35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35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3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35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35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3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35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35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35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3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35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3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117</Words>
  <Characters>683</Characters>
  <Application>Microsoft Office Word</Application>
  <DocSecurity>0</DocSecurity>
  <Lines>7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2</cp:revision>
  <dcterms:created xsi:type="dcterms:W3CDTF">2025-04-11T04:41:00Z</dcterms:created>
  <dcterms:modified xsi:type="dcterms:W3CDTF">2025-04-12T10:15:00Z</dcterms:modified>
</cp:coreProperties>
</file>