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AE94" w14:textId="676D6262" w:rsidR="00B43C45" w:rsidRDefault="007547FB">
      <w:r>
        <w:rPr>
          <w:noProof/>
        </w:rPr>
        <w:drawing>
          <wp:inline distT="0" distB="0" distL="0" distR="0" wp14:anchorId="6A643F76" wp14:editId="734B7FB3">
            <wp:extent cx="5274310" cy="4077335"/>
            <wp:effectExtent l="0" t="0" r="2540" b="0"/>
            <wp:docPr id="1785238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6F14" w14:textId="77777777" w:rsidR="007547FB" w:rsidRDefault="007547FB"/>
    <w:p w14:paraId="6CDC6276" w14:textId="3986B741" w:rsidR="007547FB" w:rsidRDefault="007547FB">
      <w:r w:rsidRPr="00346303">
        <w:t xml:space="preserve">A 28-year-old Indian woman on oral Imatinib 400 mg once a day, presented </w:t>
      </w:r>
      <w:proofErr w:type="spellStart"/>
      <w:r w:rsidRPr="00346303">
        <w:t>withcomplaints</w:t>
      </w:r>
      <w:proofErr w:type="spellEnd"/>
      <w:r w:rsidRPr="00346303">
        <w:t xml:space="preserve"> of decreased vision in both eyes for 1 week. Her visual acuity was 20/160 in both eyes. A-B, Retinal evaluation </w:t>
      </w:r>
      <w:proofErr w:type="spellStart"/>
      <w:r w:rsidRPr="00346303">
        <w:t>revealedbilateral</w:t>
      </w:r>
      <w:proofErr w:type="spellEnd"/>
      <w:r w:rsidRPr="00346303">
        <w:t xml:space="preserve"> tortuous, dilated retinal veins, and multifocal, symmetrical, retinal infiltrates ranging from 1 to 8-disc diameters. C, </w:t>
      </w:r>
      <w:proofErr w:type="gramStart"/>
      <w:r w:rsidRPr="00346303">
        <w:t>Swept</w:t>
      </w:r>
      <w:proofErr w:type="gramEnd"/>
      <w:r w:rsidRPr="00346303">
        <w:t xml:space="preserve"> </w:t>
      </w:r>
      <w:proofErr w:type="spellStart"/>
      <w:r w:rsidRPr="00346303">
        <w:t>sourceOCT</w:t>
      </w:r>
      <w:proofErr w:type="spellEnd"/>
      <w:r w:rsidRPr="00346303">
        <w:t xml:space="preserve"> passing through the lesions showed full-thickness homogenous hyperreflectivity of the retina, subretinal hyperreflectivity </w:t>
      </w:r>
      <w:proofErr w:type="spellStart"/>
      <w:r w:rsidRPr="00346303">
        <w:t>withthickened</w:t>
      </w:r>
      <w:proofErr w:type="spellEnd"/>
      <w:r w:rsidRPr="00346303">
        <w:t xml:space="preserve"> external limiting membrane, and inner retinal hyperreflectivity (D).</w:t>
      </w:r>
      <w:r w:rsidRPr="007547FB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7547FB">
        <w:t>Based on the provided images and clinical description please make an ophthalmic diagnosis for this patient. And output the diagnostic conclusions only.</w:t>
      </w:r>
    </w:p>
    <w:p w14:paraId="3D19488B" w14:textId="77777777" w:rsidR="007547FB" w:rsidRDefault="007547FB"/>
    <w:p w14:paraId="4F512841" w14:textId="5D07454A" w:rsidR="007547FB" w:rsidRPr="007547FB" w:rsidRDefault="007547FB" w:rsidP="007547FB">
      <w:pPr>
        <w:rPr>
          <w:rFonts w:hint="eastAsia"/>
          <w:b/>
          <w:bCs/>
          <w:color w:val="002060"/>
          <w:sz w:val="36"/>
          <w:szCs w:val="40"/>
        </w:rPr>
      </w:pPr>
      <w:r w:rsidRPr="007547FB">
        <w:rPr>
          <w:b/>
          <w:bCs/>
          <w:color w:val="002060"/>
          <w:sz w:val="36"/>
          <w:szCs w:val="40"/>
        </w:rPr>
        <w:t>Imatinib-induced retinal toxicity.</w:t>
      </w:r>
    </w:p>
    <w:sectPr w:rsidR="007547FB" w:rsidRPr="00754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75"/>
    <w:rsid w:val="000E7175"/>
    <w:rsid w:val="00225756"/>
    <w:rsid w:val="007547FB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EE7EB"/>
  <w15:chartTrackingRefBased/>
  <w15:docId w15:val="{1A96BFA2-6F6E-4D27-BD3A-CDD508D5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71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1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17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17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17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17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17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17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17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1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17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717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1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1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1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1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1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1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1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1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1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1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450</Characters>
  <Application>Microsoft Office Word</Application>
  <DocSecurity>0</DocSecurity>
  <Lines>11</Lines>
  <Paragraphs>2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2025-05-09T09:12:00Z</dcterms:created>
  <dcterms:modified xsi:type="dcterms:W3CDTF">2025-05-09T09:13:00Z</dcterms:modified>
</cp:coreProperties>
</file>