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55398" w14:textId="46D91479" w:rsidR="00133007" w:rsidRDefault="005D4776">
      <w:r w:rsidRPr="005D4776">
        <w:t xml:space="preserve">A 28-year-old Indian woman on oral Imatinib 400 mg once a day, presented </w:t>
      </w:r>
      <w:proofErr w:type="spellStart"/>
      <w:r w:rsidRPr="005D4776">
        <w:t>withcomplaints</w:t>
      </w:r>
      <w:proofErr w:type="spellEnd"/>
      <w:r w:rsidRPr="005D4776">
        <w:t xml:space="preserve"> of decreased vision in both eyes for 1 week. Her visual acuity was 20/160 in both eyes. A-B, Retinal evaluation </w:t>
      </w:r>
      <w:proofErr w:type="spellStart"/>
      <w:r w:rsidRPr="005D4776">
        <w:t>revealedbilateral</w:t>
      </w:r>
      <w:proofErr w:type="spellEnd"/>
      <w:r w:rsidRPr="005D4776">
        <w:t xml:space="preserve"> tortuous, dilated retinal veins, and multifocal, symmetrical, retinal infiltrates ranging from 1 to 8-disc diameters. C, Swept </w:t>
      </w:r>
      <w:proofErr w:type="spellStart"/>
      <w:r w:rsidRPr="005D4776">
        <w:t>sourceOCT</w:t>
      </w:r>
      <w:proofErr w:type="spellEnd"/>
      <w:r w:rsidRPr="005D4776">
        <w:t xml:space="preserve"> passing through the lesions showed full-thickness homogenous hyperreflectivity of the retina, subretinal hyperreflectivity </w:t>
      </w:r>
      <w:proofErr w:type="spellStart"/>
      <w:r w:rsidRPr="005D4776">
        <w:t>withthickened</w:t>
      </w:r>
      <w:proofErr w:type="spellEnd"/>
      <w:r w:rsidRPr="005D4776">
        <w:t xml:space="preserve"> external limiting membrane, and inner retinal hyperreflectivity (D).</w:t>
      </w:r>
    </w:p>
    <w:sectPr w:rsidR="0013300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9101047">
    <w:abstractNumId w:val="1"/>
  </w:num>
  <w:num w:numId="2" w16cid:durableId="210655466">
    <w:abstractNumId w:val="2"/>
  </w:num>
  <w:num w:numId="3" w16cid:durableId="94950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07"/>
    <w:rsid w:val="00133007"/>
    <w:rsid w:val="005D4776"/>
    <w:rsid w:val="006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F91E9"/>
  <w15:docId w15:val="{E89B18EA-6A11-4215-88AD-B454FD2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2025-04-14T15:01:00Z</dcterms:modified>
  <cp:category/>
</cp:coreProperties>
</file>