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9B237" w14:textId="58A3201E" w:rsidR="000673EB" w:rsidRDefault="0028082B">
      <w:r w:rsidRPr="0028082B">
        <w:t xml:space="preserve">A 29-year-old woman presented with sudden onset of headache and paralysis of the left side. Magnetic resonance imaging showed as picture (A, B). Right fundus examination revealed grape-like hemorrhagic clusters (C), which had been observed in this patient since age 9. Fundus fluorescein angiography showed </w:t>
      </w:r>
      <w:proofErr w:type="spellStart"/>
      <w:r w:rsidRPr="0028082B">
        <w:t>plasmaeerythrocyticseparation</w:t>
      </w:r>
      <w:proofErr w:type="spellEnd"/>
      <w:r w:rsidRPr="0028082B">
        <w:t xml:space="preserve"> in some aneurysms (D). Cavernous malformations are congenital vascular anomalies found in the central nervous system or </w:t>
      </w:r>
      <w:proofErr w:type="spellStart"/>
      <w:r w:rsidRPr="0028082B">
        <w:t>inthe</w:t>
      </w:r>
      <w:proofErr w:type="spellEnd"/>
      <w:r w:rsidRPr="0028082B">
        <w:t xml:space="preserve"> retina.</w:t>
      </w:r>
    </w:p>
    <w:sectPr w:rsidR="000673EB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40416158">
    <w:abstractNumId w:val="1"/>
  </w:num>
  <w:num w:numId="2" w16cid:durableId="2012827586">
    <w:abstractNumId w:val="2"/>
  </w:num>
  <w:num w:numId="3" w16cid:durableId="1769621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3EB"/>
    <w:rsid w:val="000673EB"/>
    <w:rsid w:val="0028082B"/>
    <w:rsid w:val="0050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78C4C2"/>
  <w15:docId w15:val="{6A30109C-DDB3-4538-A977-A036F21A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2025-04-14T15:03:00Z</dcterms:modified>
  <cp:category/>
</cp:coreProperties>
</file>