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EFF9" w14:textId="25870616" w:rsidR="00E91EF3" w:rsidRDefault="005158BD">
      <w:r w:rsidRPr="005158BD">
        <w:t>A, Examination revealed peripheral amelanotic vascular lesion with a largerretrolenticular portion. B, Ultrasound demonstrated a homogenous mass arising from the ciliary body (CB). The patient underwentexcisional biopsy through a scleral tunnel incision. C, Pathology showed a low-grade neoplasm with plump epithelioid cells. Immunohistochemistry showed diffuse expression of HMB45 immunostain (D) and heterogeneous smooth muscle actin (SMA), while beingnegative for SOX10 and S100. On RNA sequencing PRCC-TFE3 fusion was detected.</w:t>
      </w:r>
    </w:p>
    <w:sectPr w:rsidR="00E91EF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5933882">
    <w:abstractNumId w:val="1"/>
  </w:num>
  <w:num w:numId="2" w16cid:durableId="743189272">
    <w:abstractNumId w:val="2"/>
  </w:num>
  <w:num w:numId="3" w16cid:durableId="202265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3"/>
    <w:rsid w:val="000F1891"/>
    <w:rsid w:val="005158BD"/>
    <w:rsid w:val="00E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B35CB"/>
  <w15:docId w15:val="{5FBD186B-7C58-426D-A95B-60011786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2025-04-14T15:08:00Z</dcterms:modified>
  <cp:category/>
</cp:coreProperties>
</file>