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1A94" w14:textId="0154B341" w:rsidR="00497E80" w:rsidRDefault="00F44738" w:rsidP="00F44738">
      <w:r>
        <w:t xml:space="preserve">A 34-year-old goldsmith, with no comorbidity, presented with complaints of foreign body sensation and blurred vision in both </w:t>
      </w:r>
      <w:proofErr w:type="gramStart"/>
      <w:r>
        <w:t>eyes(</w:t>
      </w:r>
      <w:proofErr w:type="gramEnd"/>
      <w:r>
        <w:t>more blurred in the right eye than the left eye) after sustaining an injury while working. Best corrected visual acuity was 6/18 in the righteye and 6/9 in the left eye. On examination, multiple gold foreign body particles were observed embedded in the cornea of both eyes (</w:t>
      </w:r>
      <w:proofErr w:type="spellStart"/>
      <w:proofErr w:type="gramStart"/>
      <w:r>
        <w:t>A,right</w:t>
      </w:r>
      <w:proofErr w:type="spellEnd"/>
      <w:proofErr w:type="gramEnd"/>
      <w:r>
        <w:t xml:space="preserve"> eye; </w:t>
      </w:r>
      <w:proofErr w:type="spellStart"/>
      <w:r>
        <w:t>BeC</w:t>
      </w:r>
      <w:proofErr w:type="spellEnd"/>
      <w:r>
        <w:t xml:space="preserve">, right and left slit photo, respectively). The corneal epithelium was intact with few punctate staining. Anterior-segment </w:t>
      </w:r>
      <w:proofErr w:type="spellStart"/>
      <w:r>
        <w:t>OCTrevealed</w:t>
      </w:r>
      <w:proofErr w:type="spellEnd"/>
      <w:r>
        <w:t xml:space="preserve"> hyperreflectivity in the epithelium and anterior stromal layer (D, right eye [upper panel] and left eye [lower panel]).  the patient was managed conservatively with topical prednisolone acetate 1% four times daily (QID) and </w:t>
      </w:r>
      <w:proofErr w:type="spellStart"/>
      <w:r>
        <w:t>lubricatingeyedrops</w:t>
      </w:r>
      <w:proofErr w:type="spellEnd"/>
      <w:r>
        <w:t xml:space="preserve"> (</w:t>
      </w:r>
      <w:proofErr w:type="spellStart"/>
      <w:r>
        <w:t>carboxymethylycellulose</w:t>
      </w:r>
      <w:proofErr w:type="spellEnd"/>
      <w:r>
        <w:t xml:space="preserve"> 0.5% QID). The patient was symptomatically better on follow-up.</w:t>
      </w:r>
    </w:p>
    <w:sectPr w:rsidR="00497E8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6035522">
    <w:abstractNumId w:val="1"/>
  </w:num>
  <w:num w:numId="2" w16cid:durableId="196237652">
    <w:abstractNumId w:val="2"/>
  </w:num>
  <w:num w:numId="3" w16cid:durableId="14274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E80"/>
    <w:rsid w:val="00497E80"/>
    <w:rsid w:val="00935A02"/>
    <w:rsid w:val="00EC7F64"/>
    <w:rsid w:val="00F4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75875"/>
  <w15:docId w15:val="{32F3788C-4CDB-4EC1-B5AE-8B8FEFB6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2025-04-14T15:10:00Z</dcterms:modified>
  <cp:category/>
</cp:coreProperties>
</file>