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6ED29" w14:textId="4AE290FA" w:rsidR="00741E9E" w:rsidRDefault="00CB259F">
      <w:r w:rsidRPr="00CB259F">
        <w:t xml:space="preserve">After blunt trauma, a 24-year-old man presented with an inferior cyclodialysis cleft (A) and hypotony. Indocyanine green </w:t>
      </w:r>
      <w:proofErr w:type="spellStart"/>
      <w:r w:rsidRPr="00CB259F">
        <w:t>angiographyon</w:t>
      </w:r>
      <w:proofErr w:type="spellEnd"/>
      <w:r w:rsidRPr="00CB259F">
        <w:t xml:space="preserve"> FLEX </w:t>
      </w:r>
      <w:proofErr w:type="spellStart"/>
      <w:r w:rsidRPr="00CB259F">
        <w:t>Spectralis</w:t>
      </w:r>
      <w:proofErr w:type="spellEnd"/>
      <w:r w:rsidRPr="00CB259F">
        <w:t xml:space="preserve"> revealed dilated, irregular, blind-tipped channels with variegated contrast (B, arrow), akin </w:t>
      </w:r>
      <w:proofErr w:type="spellStart"/>
      <w:r w:rsidRPr="00CB259F">
        <w:t>tolymphatics</w:t>
      </w:r>
      <w:proofErr w:type="spellEnd"/>
      <w:r w:rsidRPr="00CB259F">
        <w:t xml:space="preserve"> reported on angiographic imaging after trabeculectomy. This was contrary to the traditional aqueous outflow channels that are seen as acutely branching, more uniform, and narrower in width (C, arrow). Subconjunctival lymphatic trypan blue-assisted staining in the </w:t>
      </w:r>
      <w:proofErr w:type="spellStart"/>
      <w:r w:rsidRPr="00CB259F">
        <w:t>cleftregion</w:t>
      </w:r>
      <w:proofErr w:type="spellEnd"/>
      <w:r w:rsidRPr="00CB259F">
        <w:t xml:space="preserve"> has previously shown lymphatic over-drain after cyclodialysis .</w:t>
      </w:r>
    </w:p>
    <w:sectPr w:rsidR="00741E9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3019744">
    <w:abstractNumId w:val="1"/>
  </w:num>
  <w:num w:numId="2" w16cid:durableId="65811532">
    <w:abstractNumId w:val="2"/>
  </w:num>
  <w:num w:numId="3" w16cid:durableId="133603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9E"/>
    <w:rsid w:val="00741E9E"/>
    <w:rsid w:val="008C7C0D"/>
    <w:rsid w:val="00CB2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75D3D"/>
  <w15:docId w15:val="{53DBBF0C-6EA3-4FCB-9512-B9E4CFCC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508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2025-04-16T11:33:00Z</dcterms:modified>
  <cp:category/>
</cp:coreProperties>
</file>