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1131D" w14:textId="65BA7BB3" w:rsidR="00592D41" w:rsidRDefault="00EC0721">
      <w:r w:rsidRPr="00EC0721">
        <w:t xml:space="preserve">A 62-year-old man presented with bilateral band keratopathy (A, anterior segment [AS] photography; B, AS-OCT) with no </w:t>
      </w:r>
      <w:proofErr w:type="spellStart"/>
      <w:r w:rsidRPr="00EC0721">
        <w:t>otherrelevant</w:t>
      </w:r>
      <w:proofErr w:type="spellEnd"/>
      <w:r w:rsidRPr="00EC0721">
        <w:t xml:space="preserve"> systemic or ocular findings. The patient was treated with topical ethylenediaminetetraacetic acid (EDTA) 2% twice daily bilaterally. The patient reported acute vision loss in his left eye 20 days later. He showed a severe descemetocele with surrounding </w:t>
      </w:r>
      <w:proofErr w:type="spellStart"/>
      <w:r w:rsidRPr="00EC0721">
        <w:t>stromalmelting</w:t>
      </w:r>
      <w:proofErr w:type="spellEnd"/>
      <w:r w:rsidRPr="00EC0721">
        <w:t xml:space="preserve"> and anterior chamber inflammatory response (C, AS photography; D, AS-OCT). His right eye showed no significant changes.</w:t>
      </w:r>
    </w:p>
    <w:sectPr w:rsidR="00592D4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7137081">
    <w:abstractNumId w:val="1"/>
  </w:num>
  <w:num w:numId="2" w16cid:durableId="1496260729">
    <w:abstractNumId w:val="2"/>
  </w:num>
  <w:num w:numId="3" w16cid:durableId="129487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41"/>
    <w:rsid w:val="00527765"/>
    <w:rsid w:val="00592D41"/>
    <w:rsid w:val="00E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B821E"/>
  <w15:docId w15:val="{93AD24AA-F012-48A4-AFAA-976797F2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2025-04-16T11:51:00Z</dcterms:modified>
  <cp:category/>
</cp:coreProperties>
</file>