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51F52" w14:textId="2DF8440F" w:rsidR="000708C0" w:rsidRDefault="00F727D9">
      <w:r w:rsidRPr="00F727D9">
        <w:t xml:space="preserve">A 12-year-old girl presented with no light perception in the right eye. Ultrawide-field retinal imaging (A) revealed a grayish </w:t>
      </w:r>
      <w:proofErr w:type="spellStart"/>
      <w:r w:rsidRPr="00F727D9">
        <w:t>papillarymass</w:t>
      </w:r>
      <w:proofErr w:type="spellEnd"/>
      <w:r w:rsidRPr="00F727D9">
        <w:t xml:space="preserve"> expanding into the vitreous cavity, ghost retinal vessels, and deep retinal hemorrhages. Brain magnetic resonance imaging showed </w:t>
      </w:r>
      <w:proofErr w:type="spellStart"/>
      <w:r w:rsidRPr="00F727D9">
        <w:t>aleft</w:t>
      </w:r>
      <w:proofErr w:type="spellEnd"/>
      <w:r w:rsidRPr="00F727D9">
        <w:t xml:space="preserve">-sided parieto-occipital tumor crossing the midline (B, arrows) with an enlarged right optic nerve (arrowhead). Pathologic </w:t>
      </w:r>
      <w:proofErr w:type="spellStart"/>
      <w:r w:rsidRPr="00F727D9">
        <w:t>examinationfound</w:t>
      </w:r>
      <w:proofErr w:type="spellEnd"/>
      <w:r w:rsidRPr="00F727D9">
        <w:t xml:space="preserve"> highly cellular glial and microvascular proliferation, palisading necrosis, numerous mitoses (C, arrow) (</w:t>
      </w:r>
      <w:proofErr w:type="spellStart"/>
      <w:r w:rsidRPr="00F727D9">
        <w:t>Hemalun</w:t>
      </w:r>
      <w:proofErr w:type="spellEnd"/>
      <w:r w:rsidRPr="00F727D9">
        <w:t xml:space="preserve"> </w:t>
      </w:r>
      <w:proofErr w:type="spellStart"/>
      <w:r w:rsidRPr="00F727D9">
        <w:t>Phloxin</w:t>
      </w:r>
      <w:proofErr w:type="spellEnd"/>
      <w:r w:rsidRPr="00F727D9">
        <w:t xml:space="preserve"> </w:t>
      </w:r>
      <w:proofErr w:type="spellStart"/>
      <w:r w:rsidRPr="00F727D9">
        <w:t>Saffronstaining</w:t>
      </w:r>
      <w:proofErr w:type="spellEnd"/>
      <w:r w:rsidRPr="00F727D9">
        <w:t>, left), and diffuse expression of the mutation H3F3A G34R (right).</w:t>
      </w:r>
    </w:p>
    <w:sectPr w:rsidR="000708C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4E168" w14:textId="77777777" w:rsidR="00795D99" w:rsidRDefault="00795D99" w:rsidP="00F727D9">
      <w:r>
        <w:separator/>
      </w:r>
    </w:p>
  </w:endnote>
  <w:endnote w:type="continuationSeparator" w:id="0">
    <w:p w14:paraId="465D76F5" w14:textId="77777777" w:rsidR="00795D99" w:rsidRDefault="00795D99" w:rsidP="00F7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D12D4" w14:textId="77777777" w:rsidR="00795D99" w:rsidRDefault="00795D99" w:rsidP="00F727D9">
      <w:r>
        <w:separator/>
      </w:r>
    </w:p>
  </w:footnote>
  <w:footnote w:type="continuationSeparator" w:id="0">
    <w:p w14:paraId="1EEBBD48" w14:textId="77777777" w:rsidR="00795D99" w:rsidRDefault="00795D99" w:rsidP="00F7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6437528">
    <w:abstractNumId w:val="1"/>
  </w:num>
  <w:num w:numId="2" w16cid:durableId="2072656975">
    <w:abstractNumId w:val="2"/>
  </w:num>
  <w:num w:numId="3" w16cid:durableId="16835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8C0"/>
    <w:rsid w:val="000708C0"/>
    <w:rsid w:val="00795D99"/>
    <w:rsid w:val="00C95A2E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5D4978"/>
  <w15:docId w15:val="{CDB9B2E7-4D5E-4D77-9AD1-52E9823C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F727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7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7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2025-06-21T04:07:00Z</dcterms:modified>
  <cp:category/>
</cp:coreProperties>
</file>