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579D" w14:textId="07D31C7F" w:rsidR="0027701D" w:rsidRDefault="00F6257B">
      <w:r w:rsidRPr="00F6257B">
        <w:t xml:space="preserve">A </w:t>
      </w:r>
      <w:proofErr w:type="spellStart"/>
      <w:r w:rsidRPr="00F6257B">
        <w:t>concentricheterochromia</w:t>
      </w:r>
      <w:proofErr w:type="spellEnd"/>
      <w:r w:rsidRPr="00F6257B">
        <w:t xml:space="preserve"> with a ring of lighter pigmentation around the pupillary margin surrounded by darker pigmentation, along with </w:t>
      </w:r>
      <w:proofErr w:type="spellStart"/>
      <w:r w:rsidRPr="00F6257B">
        <w:t>stromalhypoplasia</w:t>
      </w:r>
      <w:proofErr w:type="spellEnd"/>
      <w:r w:rsidRPr="00F6257B">
        <w:t xml:space="preserve"> of the iris in both eyes, was noted. All children were born with bilateral congenital cataract, hazy cornea, and were positive </w:t>
      </w:r>
      <w:proofErr w:type="spellStart"/>
      <w:r w:rsidRPr="00F6257B">
        <w:t>forRubella</w:t>
      </w:r>
      <w:proofErr w:type="spellEnd"/>
      <w:r w:rsidRPr="00F6257B">
        <w:t xml:space="preserve"> immunoglobulin (Ig)M. All children had deafness, and patient B had congenital heart disease.</w:t>
      </w:r>
    </w:p>
    <w:sectPr w:rsidR="0027701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2728975">
    <w:abstractNumId w:val="1"/>
  </w:num>
  <w:num w:numId="2" w16cid:durableId="491869966">
    <w:abstractNumId w:val="2"/>
  </w:num>
  <w:num w:numId="3" w16cid:durableId="60157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1D"/>
    <w:rsid w:val="0027701D"/>
    <w:rsid w:val="003A58D3"/>
    <w:rsid w:val="00F6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94CC6"/>
  <w15:docId w15:val="{06D5ED3D-8960-4E51-9524-404DD280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2025-06-21T05:28:00Z</dcterms:modified>
  <cp:category/>
</cp:coreProperties>
</file>