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DEA5" w14:textId="128EA09C" w:rsidR="00763BE3" w:rsidRDefault="00CA14AD">
      <w:r w:rsidRPr="00CA14AD">
        <w:t xml:space="preserve">A 59-year-old man sustained a left medial wall-floor fracture requiring repair (Fig A). Eight years later, the patient presented with </w:t>
      </w:r>
      <w:proofErr w:type="spellStart"/>
      <w:r w:rsidRPr="00CA14AD">
        <w:t>leftsided</w:t>
      </w:r>
      <w:proofErr w:type="spellEnd"/>
      <w:r w:rsidRPr="00CA14AD">
        <w:t xml:space="preserve"> proptosis and binocular diplopia. Visual acuity was normal with no afferent pupillary defect. Extraocular movements were limited </w:t>
      </w:r>
      <w:proofErr w:type="spellStart"/>
      <w:r w:rsidRPr="00CA14AD">
        <w:t>insupraduction</w:t>
      </w:r>
      <w:proofErr w:type="spellEnd"/>
      <w:r w:rsidRPr="00CA14AD">
        <w:t xml:space="preserve"> and abduction in the left eye. Orbital computed tomography demonstrated a large soft tissue density representing a </w:t>
      </w:r>
      <w:proofErr w:type="spellStart"/>
      <w:r w:rsidRPr="00CA14AD">
        <w:t>mucoceleencasing</w:t>
      </w:r>
      <w:proofErr w:type="spellEnd"/>
      <w:r w:rsidRPr="00CA14AD">
        <w:t xml:space="preserve"> the implant (Fig B). There was also opacification of the left maxillary sinus and bowing of the orbital floor consistent with </w:t>
      </w:r>
      <w:proofErr w:type="spellStart"/>
      <w:r w:rsidRPr="00CA14AD">
        <w:t>silentsinus</w:t>
      </w:r>
      <w:proofErr w:type="spellEnd"/>
      <w:r w:rsidRPr="00CA14AD">
        <w:t xml:space="preserve"> syndrome.</w:t>
      </w:r>
    </w:p>
    <w:sectPr w:rsidR="00763B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0269880">
    <w:abstractNumId w:val="1"/>
  </w:num>
  <w:num w:numId="2" w16cid:durableId="153185031">
    <w:abstractNumId w:val="2"/>
  </w:num>
  <w:num w:numId="3" w16cid:durableId="112781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BE3"/>
    <w:rsid w:val="00763BE3"/>
    <w:rsid w:val="00BF541C"/>
    <w:rsid w:val="00C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58AB6"/>
  <w15:docId w15:val="{E602B5E4-77E4-4364-9391-C251ABD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2025-06-21T05:38:00Z</dcterms:modified>
  <cp:category/>
</cp:coreProperties>
</file>