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426A4" w14:textId="3D07FA14" w:rsidR="00374102" w:rsidRDefault="003F0295">
      <w:r w:rsidRPr="003F0295">
        <w:t>A 44-year-old woman presented with a 1-year history of progressive, painless bilateral proptosis. Magnetic resonance imaging revealedwell-circumscribed, enhancing, central masses (A-B). Right mass resection was performed via an inferior fornix incision. Left massresection was performed via a lateral orbitotomy. Histopathology showed the right-sided mass to be rich in vascular sinuses, lined with flatendothelial cells separated by fibrous intervals (characteristic of cavernous hemangioma, C). Histopathology of the left-sided massdemonstrated variably sized, exuberantly proliferous nerve fascicles with myelinated axons(D). Follow-upover 1 year has shown no recurrence</w:t>
      </w:r>
    </w:p>
    <w:sectPr w:rsidR="00374102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32354362">
    <w:abstractNumId w:val="1"/>
  </w:num>
  <w:num w:numId="2" w16cid:durableId="98139205">
    <w:abstractNumId w:val="2"/>
  </w:num>
  <w:num w:numId="3" w16cid:durableId="204925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102"/>
    <w:rsid w:val="000318EA"/>
    <w:rsid w:val="00374102"/>
    <w:rsid w:val="003F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91E762"/>
  <w15:docId w15:val="{EF287483-B72C-4AD6-A044-8F632E82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2025-06-21T06:27:00Z</dcterms:modified>
  <cp:category/>
</cp:coreProperties>
</file>