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695C" w14:textId="34A35D1B" w:rsidR="00555223" w:rsidRDefault="000B1213">
      <w:r w:rsidRPr="000B1213">
        <w:t>A 65-year-old man presented with blurred vision in the right eye for 2 months. There was a 3-mm mass located at 9:30-o’clockiridocorneal angle with neovascular surface (A, arrow). A few neoplasms appeared on the iris (A, triangle). The patient received intravitrealinjection of bevacizumab for recurrent hyphema. One month later, the mass had decreased in size, but more scattered neoplasms appearedon the iris (B). He was diagnosed with pulmonary adenocarcinoma by positron emission tomography (PET)ecomputed tomography (CT)(C) and pathology (D).</w:t>
      </w:r>
    </w:p>
    <w:sectPr w:rsidR="0055522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2996605">
    <w:abstractNumId w:val="1"/>
  </w:num>
  <w:num w:numId="2" w16cid:durableId="1429156854">
    <w:abstractNumId w:val="2"/>
  </w:num>
  <w:num w:numId="3" w16cid:durableId="125497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223"/>
    <w:rsid w:val="000B1213"/>
    <w:rsid w:val="00555223"/>
    <w:rsid w:val="00C11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7E937"/>
  <w15:docId w15:val="{F6FA4FB2-D16C-40EC-AE33-0ED6F25F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Words>
  <Characters>467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2025-06-21T06:58:00Z</dcterms:modified>
  <cp:category/>
</cp:coreProperties>
</file>