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FEE63" w14:textId="46241468" w:rsidR="00201E07" w:rsidRPr="005316AA" w:rsidRDefault="005316AA" w:rsidP="005316AA">
      <w:r w:rsidRPr="005316AA">
        <w:t>A 28-year-old man without psychiatric history/recent drug use presented with 2 months of painless vision loss in his left eye. He applieda Blusmart Massage Gun (image not included for copyright reasons) directly on and around each closed eye for more than an hour daily forseveral months to relieve the “feeling of eye pressure” (the patient had no history/knowledge of glaucoma). Visual acuity was 20/80 in theright eye and no light perception in the left eye. Intraocular pressure was 9 mmHg in the right eye and 23 mmHg in the left eye. In the righteye, the patient had an anterior subcapsular cataract (A) and dialysis/giant retinal tear-associated macula-on rhegmatogenous retinaldetachment (B) successfully repaired with scleral buckling. In the left eye, the patient had early phthisis, white cataract, severeneovascularization of the iris, and an irreparable stiff funnel retinal detachment (C).</w:t>
      </w:r>
    </w:p>
    <w:sectPr w:rsidR="00201E07" w:rsidRPr="005316AA"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5703128">
    <w:abstractNumId w:val="1"/>
  </w:num>
  <w:num w:numId="2" w16cid:durableId="1730112327">
    <w:abstractNumId w:val="2"/>
  </w:num>
  <w:num w:numId="3" w16cid:durableId="1254511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E07"/>
    <w:rsid w:val="00113D0E"/>
    <w:rsid w:val="00201E07"/>
    <w:rsid w:val="002C29FD"/>
    <w:rsid w:val="005316AA"/>
    <w:rsid w:val="00A80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789A7"/>
  <w15:docId w15:val="{F5519886-8E1E-4AC0-8EE4-C4616C8B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Words>
  <Characters>766</Characters>
  <Application>Microsoft Office Word</Application>
  <DocSecurity>0</DocSecurity>
  <Lines>11</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11</cp:revision>
  <dcterms:created xsi:type="dcterms:W3CDTF">2017-02-28T11:18:00Z</dcterms:created>
  <dcterms:modified xsi:type="dcterms:W3CDTF">2025-06-21T07:07:00Z</dcterms:modified>
  <cp:category/>
</cp:coreProperties>
</file>