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B939" w14:textId="7A7AC0DB" w:rsidR="00FB5EA0" w:rsidRDefault="008A083F">
      <w:r w:rsidRPr="008A083F">
        <w:t xml:space="preserve">Four months before presentation, a 27-year-old man had eyelid laceration repair after trauma to his right eyelids. He went to </w:t>
      </w:r>
      <w:proofErr w:type="spellStart"/>
      <w:r w:rsidRPr="008A083F">
        <w:t>theemergency</w:t>
      </w:r>
      <w:proofErr w:type="spellEnd"/>
      <w:r w:rsidRPr="008A083F">
        <w:t xml:space="preserve"> department (ED) with an enlarging and increasingly painful eyelid mass in addition to purulent discharge. He initially </w:t>
      </w:r>
      <w:proofErr w:type="spellStart"/>
      <w:r w:rsidRPr="008A083F">
        <w:t>noticedthe</w:t>
      </w:r>
      <w:proofErr w:type="spellEnd"/>
      <w:r w:rsidRPr="008A083F">
        <w:t xml:space="preserve"> mass after surgery and experienced pain and subjectively blurry vision after surgery. He confirmed that the mass would bleed </w:t>
      </w:r>
      <w:proofErr w:type="spellStart"/>
      <w:r w:rsidRPr="008A083F">
        <w:t>onoccasion</w:t>
      </w:r>
      <w:proofErr w:type="spellEnd"/>
      <w:r w:rsidRPr="008A083F">
        <w:t xml:space="preserve">. Upon evaluation in the ED, visual acuity was 20/25 at near vision, and the mass was in contact with the cornea, 1 cm in size, </w:t>
      </w:r>
      <w:proofErr w:type="spellStart"/>
      <w:r w:rsidRPr="008A083F">
        <w:t>firm,mobile</w:t>
      </w:r>
      <w:proofErr w:type="spellEnd"/>
      <w:r w:rsidRPr="008A083F">
        <w:t xml:space="preserve">, and attached firmly by a stalk to the palpebral conjunctiva (Fig A, lid everted). With a presumed diagnosis of a pyogenic </w:t>
      </w:r>
      <w:proofErr w:type="spellStart"/>
      <w:r w:rsidRPr="008A083F">
        <w:t>granuloma,the</w:t>
      </w:r>
      <w:proofErr w:type="spellEnd"/>
      <w:r w:rsidRPr="008A083F">
        <w:t xml:space="preserve"> patient was prescribed timolol twice daily and trimethoprim/polymyxin 4 times daily, and at follow-up 2 days later, the mass and </w:t>
      </w:r>
      <w:proofErr w:type="spellStart"/>
      <w:r w:rsidRPr="008A083F">
        <w:t>hissymptoms</w:t>
      </w:r>
      <w:proofErr w:type="spellEnd"/>
      <w:r w:rsidRPr="008A083F">
        <w:t xml:space="preserve"> had resolved; visual acuity was 20/20 at distance (Fig B, lid everted)A 2-month-old girl presented with ptosis of the right upper and lower eyelids, mild miosis (without dilation lag) of the right pupil, </w:t>
      </w:r>
      <w:proofErr w:type="spellStart"/>
      <w:r w:rsidRPr="008A083F">
        <w:t>andapparent</w:t>
      </w:r>
      <w:proofErr w:type="spellEnd"/>
      <w:r w:rsidRPr="008A083F">
        <w:t xml:space="preserve"> enophthalmos of the right eye (Fig A). Magnetic resonance imaging (MRI) of the head, </w:t>
      </w:r>
      <w:proofErr w:type="spellStart"/>
      <w:r w:rsidRPr="008A083F">
        <w:t>neck,and</w:t>
      </w:r>
      <w:proofErr w:type="spellEnd"/>
      <w:r w:rsidRPr="008A083F">
        <w:t xml:space="preserve"> chest, with MRI angiography of the head and neck (all interpreted as normal). Later review of axial orbital MRI showed </w:t>
      </w:r>
      <w:proofErr w:type="spellStart"/>
      <w:r w:rsidRPr="008A083F">
        <w:t>enophthalmosof</w:t>
      </w:r>
      <w:proofErr w:type="spellEnd"/>
      <w:r w:rsidRPr="008A083F">
        <w:t xml:space="preserve"> the right eye with greater kinking of the right optic nerve (Fig B).</w:t>
      </w:r>
    </w:p>
    <w:sectPr w:rsidR="00FB5EA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E176D" w14:textId="77777777" w:rsidR="00ED6FD3" w:rsidRDefault="00ED6FD3" w:rsidP="008A083F">
      <w:r>
        <w:separator/>
      </w:r>
    </w:p>
  </w:endnote>
  <w:endnote w:type="continuationSeparator" w:id="0">
    <w:p w14:paraId="1CA41699" w14:textId="77777777" w:rsidR="00ED6FD3" w:rsidRDefault="00ED6FD3" w:rsidP="008A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A3A04" w14:textId="77777777" w:rsidR="00ED6FD3" w:rsidRDefault="00ED6FD3" w:rsidP="008A083F">
      <w:r>
        <w:separator/>
      </w:r>
    </w:p>
  </w:footnote>
  <w:footnote w:type="continuationSeparator" w:id="0">
    <w:p w14:paraId="308D4E55" w14:textId="77777777" w:rsidR="00ED6FD3" w:rsidRDefault="00ED6FD3" w:rsidP="008A0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290746">
    <w:abstractNumId w:val="1"/>
  </w:num>
  <w:num w:numId="2" w16cid:durableId="813907639">
    <w:abstractNumId w:val="2"/>
  </w:num>
  <w:num w:numId="3" w16cid:durableId="76396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A0"/>
    <w:rsid w:val="004E7CF4"/>
    <w:rsid w:val="008A083F"/>
    <w:rsid w:val="00ED6FD3"/>
    <w:rsid w:val="00FB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C9538B"/>
  <w15:docId w15:val="{F7BCD650-4948-48CB-B92A-BBFD444C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8A08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08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08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0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11</cp:revision>
  <dcterms:created xsi:type="dcterms:W3CDTF">2017-02-28T11:18:00Z</dcterms:created>
  <dcterms:modified xsi:type="dcterms:W3CDTF">2025-06-23T03:49:00Z</dcterms:modified>
  <cp:category/>
</cp:coreProperties>
</file>