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4925" w14:textId="577FEFF1" w:rsidR="00B36880" w:rsidRDefault="00922049">
      <w:r w:rsidRPr="00922049">
        <w:t>A 34-year-old man with a 1-year history of repaired temporal paralimbal scleral perforation presented with a well-circumscribedpearl-type inferior iris cyst and residual eyelash (A, arrow) in anterior chamber. Swept-source anterior-segment OCT demonstrated ahyperreflective dome-shaped mass obscuring inferior angle (B). On follow-up, it ruptured spontaneously (C). Ultrasound biomicroscopyrevealed homogenously echogenic ruptured cyst limited to iris, confirming its origin (D).</w:t>
      </w:r>
    </w:p>
    <w:sectPr w:rsidR="00B3688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43699400">
    <w:abstractNumId w:val="1"/>
  </w:num>
  <w:num w:numId="2" w16cid:durableId="2075853657">
    <w:abstractNumId w:val="2"/>
  </w:num>
  <w:num w:numId="3" w16cid:durableId="1637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80"/>
    <w:rsid w:val="0028697C"/>
    <w:rsid w:val="00922049"/>
    <w:rsid w:val="00B3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83308"/>
  <w15:docId w15:val="{FB729CA3-F6E9-4E57-85A8-FC9DE2A3D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2025-06-23T04:01:00Z</dcterms:modified>
  <cp:category/>
</cp:coreProperties>
</file>