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5944" w14:textId="6E0D3B73" w:rsidR="004A1A04" w:rsidRDefault="00E12F9B" w:rsidP="00E12F9B">
      <w:pPr>
        <w:pStyle w:val="1"/>
      </w:pPr>
      <w:r>
        <w:rPr>
          <w:rFonts w:hint="eastAsia"/>
        </w:rPr>
        <w:t>Problem</w:t>
      </w:r>
      <w:r>
        <w:t xml:space="preserve"> 3</w:t>
      </w:r>
    </w:p>
    <w:p w14:paraId="0CAE9661" w14:textId="6DF5B13F" w:rsidR="00E12F9B" w:rsidRDefault="00E12F9B" w:rsidP="00E12F9B">
      <w:pPr>
        <w:jc w:val="center"/>
      </w:pPr>
      <w:r>
        <w:rPr>
          <w:noProof/>
        </w:rPr>
        <w:drawing>
          <wp:inline distT="0" distB="0" distL="0" distR="0" wp14:anchorId="0C60B41C" wp14:editId="6B481D84">
            <wp:extent cx="3867150" cy="2470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B03B" w14:textId="7D495500" w:rsidR="00E12F9B" w:rsidRDefault="00E12F9B" w:rsidP="00E12F9B">
      <w:pPr>
        <w:pStyle w:val="a7"/>
        <w:numPr>
          <w:ilvl w:val="0"/>
          <w:numId w:val="1"/>
        </w:numPr>
        <w:ind w:firstLineChars="0"/>
        <w:jc w:val="left"/>
      </w:pPr>
      <w:r w:rsidRPr="00E12F9B">
        <w:t>We can see from the figure that although the weight of the 5 sectors fluctuates, the amplitude is not large and basically stable at a certain level.</w:t>
      </w:r>
    </w:p>
    <w:p w14:paraId="74F3CFEC" w14:textId="6FC1F905" w:rsidR="00E12F9B" w:rsidRDefault="00E12F9B" w:rsidP="00E12F9B">
      <w:pPr>
        <w:pStyle w:val="a7"/>
        <w:numPr>
          <w:ilvl w:val="0"/>
          <w:numId w:val="1"/>
        </w:numPr>
        <w:ind w:firstLineChars="0"/>
        <w:jc w:val="left"/>
      </w:pPr>
      <w:r w:rsidRPr="00E12F9B">
        <w:t>Banking and non-banking financial industries have similar weights, possibly because their businesses are relatively similar</w:t>
      </w:r>
      <w:r>
        <w:rPr>
          <w:rFonts w:hint="eastAsia"/>
        </w:rPr>
        <w:t>.</w:t>
      </w:r>
    </w:p>
    <w:p w14:paraId="7F7B2847" w14:textId="41BC33FD" w:rsidR="00E12F9B" w:rsidRPr="00E12F9B" w:rsidRDefault="00E12F9B" w:rsidP="00E12F9B">
      <w:pPr>
        <w:pStyle w:val="a7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E12F9B">
        <w:t>The weights of the food and beverage, medical and biological, and electronics industries decrease sequentially, and the fluctuations in the weights between the two are similar.</w:t>
      </w:r>
    </w:p>
    <w:sectPr w:rsidR="00E12F9B" w:rsidRPr="00E12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C07A1" w14:textId="77777777" w:rsidR="000056C7" w:rsidRDefault="000056C7" w:rsidP="00E12F9B">
      <w:r>
        <w:separator/>
      </w:r>
    </w:p>
  </w:endnote>
  <w:endnote w:type="continuationSeparator" w:id="0">
    <w:p w14:paraId="374825E1" w14:textId="77777777" w:rsidR="000056C7" w:rsidRDefault="000056C7" w:rsidP="00E1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0EDA" w14:textId="77777777" w:rsidR="000056C7" w:rsidRDefault="000056C7" w:rsidP="00E12F9B">
      <w:r>
        <w:separator/>
      </w:r>
    </w:p>
  </w:footnote>
  <w:footnote w:type="continuationSeparator" w:id="0">
    <w:p w14:paraId="4458E8ED" w14:textId="77777777" w:rsidR="000056C7" w:rsidRDefault="000056C7" w:rsidP="00E12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E689E"/>
    <w:multiLevelType w:val="hybridMultilevel"/>
    <w:tmpl w:val="6E425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04"/>
    <w:rsid w:val="000056C7"/>
    <w:rsid w:val="004A1A04"/>
    <w:rsid w:val="00D1790B"/>
    <w:rsid w:val="00E1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FEACC"/>
  <w15:chartTrackingRefBased/>
  <w15:docId w15:val="{27DD237D-EA8C-486B-8E43-23A131A6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2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F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2F9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12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国欣然</dc:creator>
  <cp:keywords/>
  <dc:description/>
  <cp:lastModifiedBy>国欣然</cp:lastModifiedBy>
  <cp:revision>2</cp:revision>
  <dcterms:created xsi:type="dcterms:W3CDTF">2021-12-06T05:18:00Z</dcterms:created>
  <dcterms:modified xsi:type="dcterms:W3CDTF">2021-12-06T05:23:00Z</dcterms:modified>
</cp:coreProperties>
</file>