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29C7" w14:textId="77777777" w:rsidR="00AD7242" w:rsidRDefault="00AD7242" w:rsidP="00AD724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UNEFA-Guacara </w:t>
      </w:r>
    </w:p>
    <w:p w14:paraId="0B35A19F" w14:textId="77777777" w:rsidR="00AD7242" w:rsidRDefault="00AD7242" w:rsidP="00AD7242">
      <w:pPr>
        <w:pStyle w:val="NormalWeb"/>
        <w:tabs>
          <w:tab w:val="left" w:pos="7716"/>
        </w:tabs>
        <w:spacing w:before="0" w:beforeAutospacing="0" w:after="0" w:afterAutospacing="0"/>
        <w:rPr>
          <w:color w:val="1F1F1F"/>
        </w:rPr>
      </w:pPr>
      <w:r>
        <w:rPr>
          <w:color w:val="1F1F1F"/>
        </w:rPr>
        <w:t>Seminario I                                                                                                     Daniel Mendoza</w:t>
      </w:r>
    </w:p>
    <w:p w14:paraId="2386060A" w14:textId="77777777" w:rsidR="00AD7242" w:rsidRDefault="00AD7242" w:rsidP="00AD7242">
      <w:pPr>
        <w:pStyle w:val="NormalWeb"/>
        <w:tabs>
          <w:tab w:val="left" w:pos="7716"/>
        </w:tabs>
        <w:spacing w:before="0" w:beforeAutospacing="0" w:after="0" w:afterAutospacing="0"/>
        <w:rPr>
          <w:color w:val="1F1F1F"/>
        </w:rPr>
      </w:pPr>
      <w:r>
        <w:rPr>
          <w:color w:val="1F1F1F"/>
        </w:rPr>
        <w:t xml:space="preserve">                                                                                                                           CI: </w:t>
      </w:r>
      <w:r w:rsidRPr="00292D90">
        <w:rPr>
          <w:color w:val="1F1F1F"/>
        </w:rPr>
        <w:t>32247580</w:t>
      </w:r>
    </w:p>
    <w:p w14:paraId="67A266BA" w14:textId="77777777" w:rsidR="00AD7242" w:rsidRDefault="00AD7242" w:rsidP="00AD7242">
      <w:pPr>
        <w:pStyle w:val="NormalWeb"/>
        <w:spacing w:before="0" w:beforeAutospacing="0" w:after="0" w:afterAutospacing="0"/>
        <w:rPr>
          <w:color w:val="1F1F1F"/>
        </w:rPr>
      </w:pP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</w:r>
      <w:r>
        <w:rPr>
          <w:color w:val="1F1F1F"/>
        </w:rPr>
        <w:tab/>
        <w:t xml:space="preserve">     01S-2429-D1 </w:t>
      </w:r>
    </w:p>
    <w:p w14:paraId="5C4BD725" w14:textId="77777777" w:rsidR="00AD7242" w:rsidRDefault="00AD7242" w:rsidP="00AD7242">
      <w:pPr>
        <w:pStyle w:val="NormalWeb"/>
        <w:tabs>
          <w:tab w:val="left" w:pos="7716"/>
        </w:tabs>
        <w:spacing w:before="0" w:beforeAutospacing="0" w:after="0" w:afterAutospacing="0"/>
      </w:pPr>
    </w:p>
    <w:p w14:paraId="64897DA8" w14:textId="77777777" w:rsidR="00AD7242" w:rsidRDefault="00AD7242" w:rsidP="00AD724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La inteligencia emocional, consolidado, estructurado y difundido ampliamente a nivel global por el célebre psicólogo, antropólogo y divulgador estadounidense Daniel Goleman a mediados de la década de los noventa a través de su revolucionaria publicación de 1995, representa en la actualidad una de las herramientas conceptuales y metodológicas más potentes e indispensables para comprender la complejidad de la mente humana y el comportamiento social. Este constructo no se limita a una definición simplista, sino que se erige como la destreza esencial, sofisticada e inherente al ser humano para identificar, codificar, asimilar, orientar y regular de manera absolutamente equilibrada y eficiente los flujos afectivos, pulsiones y estados de ánimo, tanto propios como ajenos, en los diversos y cambiantes entornos en los que nos desenvolvemos diariamente. Lejos de ser un estado de pasividad contemplativa, un rasgo meramente innato o una simple introspección aislada del mundo exterior, este enfoque psicológico se manifiesta y se despliega dinámicamente en la cotidianidad mediante un engranaje sistémico de cinco dimensiones profundamente interconectadas y codependientes. En primer lugar, la autoconciencia o autoconocimiento emocional, que nos asiste de forma lúcida al descifrar el origen exacto, los detonantes y el impacto directo de nuestros estados de ánimo sobre nuestros juicios, pensamientos y decisiones; en segundo lugar, el autocontrol o autorregulación, que resulta una condición indispensable para mitigar las reacciones impulsivas, dominar los arrebatos viscerales y adaptarnos con notable soltura y flexibilidad a los imprevistos y crisis cotidianas; en tercer lugar, la motivación intrínseca orientada a metas personales y trascendentales, la cual opera como una fuerza y un motor de energía interna que permanece inmune al desánimo, al estatus social o a los simples incentivos económicos externos; en cuarto lugar, la empatía, entendida como la sensibilidad cognitiva y afectiva para interpretar, sintonizar y validar las realidades, dolores y emociones no verbalizadas de quienes nos rodean; y, finalmente, la competencia social o manejo de las relaciones, que resulta decisiva para coordinar esfuerzos colectivos, ejercer liderazgos transformacionales, mediar en disputas complejas y consolidar canales de comunicación transparentes, asertivos y constructivos.</w:t>
      </w:r>
    </w:p>
    <w:p w14:paraId="09A6805C" w14:textId="77777777" w:rsidR="00AD7242" w:rsidRDefault="00AD7242" w:rsidP="00AD724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Llevado de forma directa al terreno de la formación universitaria y la educación superior, este robusto conjunto de habilidades socioemocionales adquiere un rol prioritario, estratégico y de supervivencia, dado que la vida en los campus contemporáneos expone de forma constante y deliberada a los jóvenes a dinámicas de alta exigencia intelectual, agendas de entrega rigurosas, competitividad interpersonal y evaluaciones punitivas que desafían constantemente su resistencia psicológica y su estabilidad mental. En este panorama de alta volatilidad, vulnerabilidad y presión constante, el manejo inteligente y consciente de las emociones funciona no solo como un escudo protector o un mecanismo de defensa, sino como un factor determinante para la permanencia estudiantil y el éxito académico a largo plazo. Esta competencia permite a los universitarios amortiguar de manera efectiva la ansiedad paralizante que suele preceder a los exámenes, sobrellevar con entereza, madurez y resiliencia frustraciones comunes y dolorosas como el fracaso en un proyecto de investigación o la reprobación de una asignatura compleja, y estructurar </w:t>
      </w:r>
      <w:r>
        <w:rPr>
          <w:color w:val="1F1F1F"/>
        </w:rPr>
        <w:lastRenderedPageBreak/>
        <w:t>dinámicas de trabajo grupal donde predomine el debate intelectual constructivo, la sinergia y la tolerancia sobre los roces personales, los conflictos de ego y el estrés colectivo. Quienes logran encauzar estas destrezas de forma temprana en las aulas no solo garantizan una experiencia formativa mucho más saludable, plena y libre de patologías psicosomáticas asociadas al estrés crónico o a la depresión, sino que van perfilando y cimentando de antemano su identidad competitiva y su marca personal de cara a un entorno profesional y corporativo externo que hoy en día se transforma a pasos agigantados debido a la automatización y la globalización.</w:t>
      </w:r>
    </w:p>
    <w:p w14:paraId="5396F33B" w14:textId="77777777" w:rsidR="00AD7242" w:rsidRDefault="00AD7242" w:rsidP="00AD724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Bajo las complejas dinámicas del mercado de trabajo contemporáneo, los títulos de grado, los promedios académicos notables y las acreditaciones técnicas especializadas —comúnmente englobadas bajo el término de competencias duras o </w:t>
      </w:r>
      <w:proofErr w:type="spellStart"/>
      <w:r>
        <w:rPr>
          <w:i/>
          <w:iCs/>
          <w:color w:val="1F1F1F"/>
          <w:bdr w:val="none" w:sz="0" w:space="0" w:color="auto" w:frame="1"/>
        </w:rPr>
        <w:t>hard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skills</w:t>
      </w:r>
      <w:proofErr w:type="spellEnd"/>
      <w:r>
        <w:rPr>
          <w:color w:val="1F1F1F"/>
        </w:rPr>
        <w:t xml:space="preserve">— han dejado de ser la garantía absoluta de éxito para convertirse únicamente en el estándar mínimo, el filtro burocrático o la llave de acceso básica para ingresar a un proceso de selección de personal. El mercado laboral actual delega la estabilidad a largo plazo, la dirección eficiente de equipos, la resolución de crisis corporativas y las promociones jerárquicas al dominio absoluto y refinado de las competencias blandas o </w:t>
      </w:r>
      <w:proofErr w:type="spellStart"/>
      <w:r>
        <w:rPr>
          <w:i/>
          <w:iCs/>
          <w:color w:val="1F1F1F"/>
          <w:bdr w:val="none" w:sz="0" w:space="0" w:color="auto" w:frame="1"/>
        </w:rPr>
        <w:t>soft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skills</w:t>
      </w:r>
      <w:proofErr w:type="spellEnd"/>
      <w:r>
        <w:rPr>
          <w:color w:val="1F1F1F"/>
        </w:rPr>
        <w:t>, tales como la tolerancia a la frustración bajo presión, el respeto profundo a la diversidad cultural, la adaptabilidad al cambio y la dirección empática de capital humano. Sin embargo, la utilidad y el alcance de este enfoque psicológico no deben reducirse en absoluto al mero utilitarismo corporativo, a la productividad empresarial o a la búsqueda pragmática de la eficiencia económica, pues el verdadero y más profundo alcance de la propuesta original de Goleman reside en su intrínseco valor ético y humanista para la maduración integral, cívica y existencial del individuo dentro del tejido social ordinario. Perfeccionar esta sensibilidad emocional a lo largo de toda la vida dota al ser humano de las herramientas críticas y de la sabiduría necesarias para consolidar lazos afectivos sólidos, estables y significativos, emitir juicios con asertividad y justicia, establecer fronteras y límites personales saludables ante dinámicas relacionales disfuncionales o tóxicas, y asimilar las crisis existenciales, las pérdidas inevitables, los duelos y las rupturas con una profunda entereza, ecuanimidad y lucidez mental.</w:t>
      </w:r>
    </w:p>
    <w:p w14:paraId="60FE05E8" w14:textId="77777777" w:rsidR="00AD7242" w:rsidRDefault="00AD7242" w:rsidP="00AD7242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En conclusión, asimilar e implementar la gestión emocional como un eje transversal, permanente y prioritario de la existencia humana sirve para convalidar con absoluta contundencia aquel antiguo y sabio postulado filosófico que sostiene que una instrucción enfocada única y exclusivamente en el desarrollo cognitivo y memorístico, pero que ignora por completo la dimensión sentimental, afectiva y relacional, resulta a todas luces incompleta, deficiente y estéril para los desafíos de la vida real. El bienestar duradero, la auténtica realización personal, la paz mental y el éxito en sus múltiples y legítimas facetas no se derivan en absoluto del almacenamiento mecánico de conceptos teóricos o de la brillantez intelectual abstracta, sino de la articulación armónica, fluida y consciente entre el pensamiento reflexivo, el bagaje intelectual acumulado y el modo sabio en que elegimos canalizar nuestros afectos, interpretar nuestras vulnerabilidades y dirigir nuestras conductas frente a las realidades, desafíos y oportunidades del entorno que nos rodea.</w:t>
      </w:r>
    </w:p>
    <w:p w14:paraId="0C358F91" w14:textId="77777777" w:rsidR="00AD7242" w:rsidRDefault="00AD7242" w:rsidP="00AD7242"/>
    <w:p w14:paraId="4A3D3882" w14:textId="77777777" w:rsidR="00FC4EBF" w:rsidRDefault="00FC4EBF"/>
    <w:sectPr w:rsidR="00FC4E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92"/>
    <w:rsid w:val="00AD0992"/>
    <w:rsid w:val="00AD7242"/>
    <w:rsid w:val="00FC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369B37-E584-4A35-8ADF-BF87FBE1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Daifer Moreno</dc:creator>
  <cp:keywords/>
  <dc:description/>
  <cp:lastModifiedBy>Daifer Moreno</cp:lastModifiedBy>
  <cp:revision>2</cp:revision>
  <dcterms:created xsi:type="dcterms:W3CDTF">2026-05-29T23:16:00Z</dcterms:created>
  <dcterms:modified xsi:type="dcterms:W3CDTF">2026-05-29T23:16:00Z</dcterms:modified>
</cp:coreProperties>
</file>