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F5F7B5">
      <w:pPr>
        <w:numPr>
          <w:ilvl w:val="0"/>
          <w:numId w:val="1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设计聊天功能，让企业HR可以去个人用户交流，在个人端和企业端都要设计聊天功能，个人端可以在匹配详情页面添加聊一聊功能，企业端可以在</w:t>
      </w:r>
      <w:r>
        <w:rPr>
          <w:rFonts w:hint="eastAsia"/>
          <w:sz w:val="28"/>
          <w:szCs w:val="28"/>
          <w:lang w:val="en-US" w:eastAsia="zh-CN"/>
        </w:rPr>
        <w:t>匹配详情页面添加聊一聊功能</w:t>
      </w:r>
      <w:r>
        <w:rPr>
          <w:rFonts w:hint="eastAsia"/>
          <w:sz w:val="28"/>
          <w:szCs w:val="28"/>
          <w:lang w:val="en-US" w:eastAsia="zh-CN"/>
        </w:rPr>
        <w:tab/>
        <w:t>（实现）</w:t>
      </w:r>
    </w:p>
    <w:p w14:paraId="41AB2CCB">
      <w:pPr>
        <w:numPr>
          <w:ilvl w:val="1"/>
          <w:numId w:val="2"/>
        </w:numPr>
        <w:ind w:left="14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设置一个两端消息功能与人才市场/人才库等级相同，添加好友功能</w:t>
      </w:r>
    </w:p>
    <w:p w14:paraId="087DA861">
      <w:pPr>
        <w:numPr>
          <w:ilvl w:val="1"/>
          <w:numId w:val="2"/>
        </w:numPr>
        <w:ind w:left="140" w:leftChars="0"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私信收发权限的核心逻辑在</w:t>
      </w:r>
      <w:r>
        <w:rPr>
          <w:rFonts w:hint="eastAsia"/>
          <w:sz w:val="28"/>
          <w:szCs w:val="28"/>
          <w:lang w:val="en-US" w:eastAsia="zh-CN"/>
        </w:rPr>
        <w:t>消息</w:t>
      </w:r>
      <w:r>
        <w:rPr>
          <w:rFonts w:hint="default"/>
          <w:sz w:val="28"/>
          <w:szCs w:val="28"/>
          <w:lang w:val="en-US" w:eastAsia="zh-CN"/>
        </w:rPr>
        <w:t>中统一管理：通过“谁可以给我发私信”设置基础范围（所有人/仅互关/关闭），再用四个独立开关（互关朋友、我关注的人、可能认识的朋友、陌生人）进行更精细的过滤；同时，你主动发送私信也受对方设置约束，并可通过“私信过滤”自动隔离疑似骚扰消息，或直接拉黑特定用户来彻底切断私信通道。</w:t>
      </w:r>
      <w:r>
        <w:rPr>
          <w:rFonts w:hint="eastAsia"/>
          <w:sz w:val="28"/>
          <w:szCs w:val="28"/>
          <w:lang w:val="en-US" w:eastAsia="zh-CN"/>
        </w:rPr>
        <w:t>（完成</w:t>
      </w:r>
      <w:bookmarkStart w:id="0" w:name="_GoBack"/>
      <w:bookmarkEnd w:id="0"/>
      <w:r>
        <w:rPr>
          <w:rFonts w:hint="eastAsia"/>
          <w:sz w:val="28"/>
          <w:szCs w:val="28"/>
          <w:lang w:val="en-US" w:eastAsia="zh-CN"/>
        </w:rPr>
        <w:t>）</w:t>
      </w:r>
    </w:p>
    <w:p w14:paraId="0026C6E2">
      <w:pPr>
        <w:numPr>
          <w:ilvl w:val="0"/>
          <w:numId w:val="1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企业端注册信息要详细一点，公司名称，企业行业，人数规模，公司位置，注册时间，注册资本，经营范围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3223345"/>
    <w:multiLevelType w:val="multilevel"/>
    <w:tmpl w:val="F3223345"/>
    <w:lvl w:ilvl="0" w:tentative="0">
      <w:start w:val="1"/>
      <w:numFmt w:val="decimal"/>
      <w:suff w:val="space"/>
      <w:lvlText w:val="%1"/>
      <w:lvlJc w:val="left"/>
      <w:pPr>
        <w:ind w:left="14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14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14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14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14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14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14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14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140" w:leftChars="0" w:firstLine="0" w:firstLineChars="0"/>
      </w:pPr>
      <w:rPr>
        <w:rFonts w:hint="default"/>
      </w:rPr>
    </w:lvl>
  </w:abstractNum>
  <w:abstractNum w:abstractNumId="1">
    <w:nsid w:val="357D4E65"/>
    <w:multiLevelType w:val="singleLevel"/>
    <w:tmpl w:val="357D4E65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DB43CC"/>
    <w:rsid w:val="76E42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320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2026-05-13T02:48:22Z</dcterms:created>
  <dc:creator>daihu</dc:creator>
  <cp:lastModifiedBy>WPS_1691149039</cp:lastModifiedBy>
  <dcterms:modified xsi:type="dcterms:W3CDTF">2026-05-13T09:00:37Z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eyJoZGlkIjoiNWEzZWY1MmVmZmQ0NDMzMDcwOGI0YjI3NWNjNzJhN2UiLCJ1c2VySWQiOiIxNTE4MzQ4ODIwIn0=</vt:lpwstr>
  </property>
  <property fmtid="{D5CDD505-2E9C-101B-9397-08002B2CF9AE}" pid="4" name="ICV">
    <vt:lpwstr>47EA173074264F06918133DA1767FB46_12</vt:lpwstr>
  </property>
</Properties>
</file>