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黑体" w:hAnsi="黑体" w:eastAsia="黑体"/>
          <w:b/>
          <w:color w:val="1F4E79"/>
          <w:sz w:val="44"/>
        </w:rPr>
        <w:t>信息安全作业一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课程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信息安全</w:t>
            </w:r>
          </w:p>
        </w:tc>
        <w:tc>
          <w:tcPr>
            <w:tcW w:type="dxa" w:w="2351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作业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作业一</w:t>
            </w:r>
          </w:p>
        </w:tc>
      </w:tr>
      <w:tr>
        <w:tc>
          <w:tcPr>
            <w:tcW w:type="dxa" w:w="2351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姓名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__________</w:t>
            </w:r>
          </w:p>
        </w:tc>
        <w:tc>
          <w:tcPr>
            <w:tcW w:type="dxa" w:w="2351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学号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__________</w:t>
            </w:r>
          </w:p>
        </w:tc>
      </w:tr>
      <w:tr>
        <w:tc>
          <w:tcPr>
            <w:tcW w:type="dxa" w:w="2351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日期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2026 年 5 月</w:t>
            </w:r>
          </w:p>
        </w:tc>
        <w:tc>
          <w:tcPr>
            <w:tcW w:type="dxa" w:w="2351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主题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恶意代码、漏洞与安全态势分析</w:t>
            </w:r>
          </w:p>
        </w:tc>
      </w:tr>
    </w:tbl>
    <w:p>
      <w:pPr>
        <w:spacing w:line="324" w:lineRule="auto" w:after="120"/>
        <w:ind w:firstLine="420"/>
      </w:pPr>
      <w:r>
        <w:rPr>
          <w:rFonts w:ascii="宋体" w:hAnsi="宋体" w:eastAsia="宋体"/>
          <w:sz w:val="22"/>
        </w:rPr>
      </w:r>
    </w:p>
    <w:p>
      <w:pPr>
        <w:pStyle w:val="Heading1"/>
      </w:pPr>
      <w:r>
        <w:rPr>
          <w:rFonts w:ascii="黑体" w:hAnsi="黑体" w:eastAsia="黑体"/>
          <w:color w:val="1F4E79"/>
        </w:rPr>
        <w:t>一、几种典型的恶意代码传播方式及防范措施</w:t>
      </w:r>
    </w:p>
    <w:p>
      <w:pPr>
        <w:spacing w:line="324" w:lineRule="auto" w:after="120"/>
        <w:ind w:firstLine="420"/>
      </w:pPr>
      <w:r>
        <w:rPr>
          <w:rFonts w:ascii="宋体" w:hAnsi="宋体" w:eastAsia="宋体"/>
          <w:sz w:val="22"/>
        </w:rPr>
        <w:t>恶意代码是指未经授权、以破坏系统、窃取信息、控制主机或牟利为目的的程序或脚本。它并不只通过单一方式传播，而是常常结合社会工程学、系统漏洞和弱口令等手段形成攻击链。常见传播方式如下。</w:t>
      </w:r>
    </w:p>
    <w:p>
      <w:pPr>
        <w:pStyle w:val="ListBullet"/>
        <w:spacing w:line="300" w:lineRule="auto" w:after="80"/>
      </w:pPr>
      <w:r>
        <w:rPr>
          <w:rFonts w:ascii="宋体" w:hAnsi="宋体" w:eastAsia="宋体"/>
          <w:sz w:val="21"/>
        </w:rPr>
        <w:t>电子邮件和即时通信传播：攻击者将木马、宏病毒或钓鱼链接伪装成通知、发票、作业资料、压缩包等，诱导用户点击或下载。</w:t>
      </w:r>
    </w:p>
    <w:p>
      <w:pPr>
        <w:pStyle w:val="ListBullet"/>
        <w:spacing w:line="300" w:lineRule="auto" w:after="80"/>
      </w:pPr>
      <w:r>
        <w:rPr>
          <w:rFonts w:ascii="宋体" w:hAnsi="宋体" w:eastAsia="宋体"/>
          <w:sz w:val="21"/>
        </w:rPr>
        <w:t>网页挂马和恶意链接传播：用户访问被入侵的网站或钓鱼站点时，浏览器、插件或脚本漏洞可能被利用，恶意代码被自动下载执行。</w:t>
      </w:r>
    </w:p>
    <w:p>
      <w:pPr>
        <w:pStyle w:val="ListBullet"/>
        <w:spacing w:line="300" w:lineRule="auto" w:after="80"/>
      </w:pPr>
      <w:r>
        <w:rPr>
          <w:rFonts w:ascii="宋体" w:hAnsi="宋体" w:eastAsia="宋体"/>
          <w:sz w:val="21"/>
        </w:rPr>
        <w:t>移动存储介质传播：U 盘、移动硬盘等设备可能携带自动运行脚本或伪装文件，在多台电脑之间交叉感染。</w:t>
      </w:r>
    </w:p>
    <w:p>
      <w:pPr>
        <w:pStyle w:val="ListBullet"/>
        <w:spacing w:line="300" w:lineRule="auto" w:after="80"/>
      </w:pPr>
      <w:r>
        <w:rPr>
          <w:rFonts w:ascii="宋体" w:hAnsi="宋体" w:eastAsia="宋体"/>
          <w:sz w:val="21"/>
        </w:rPr>
        <w:t>漏洞利用传播：蠕虫利用操作系统、数据库、中间件、Web 应用或网络服务漏洞自动扫描并感染其他主机。</w:t>
      </w:r>
    </w:p>
    <w:p>
      <w:pPr>
        <w:pStyle w:val="ListBullet"/>
        <w:spacing w:line="300" w:lineRule="auto" w:after="80"/>
      </w:pPr>
      <w:r>
        <w:rPr>
          <w:rFonts w:ascii="宋体" w:hAnsi="宋体" w:eastAsia="宋体"/>
          <w:sz w:val="21"/>
        </w:rPr>
        <w:t>软件供应链传播：攻击者污染安装包、更新通道、第三方依赖库或开源组件，使用户在正常安装和升级时引入恶意代码。</w:t>
      </w:r>
    </w:p>
    <w:p>
      <w:pPr>
        <w:pStyle w:val="ListBullet"/>
        <w:spacing w:line="300" w:lineRule="auto" w:after="80"/>
      </w:pPr>
      <w:r>
        <w:rPr>
          <w:rFonts w:ascii="宋体" w:hAnsi="宋体" w:eastAsia="宋体"/>
          <w:sz w:val="21"/>
        </w:rPr>
        <w:t>弱口令和远程服务传播：通过爆破 RDP、SSH、数据库、NAS、路由器后台等入口获得权限，再植入木马或挖矿程序。</w:t>
      </w:r>
    </w:p>
    <w:p>
      <w:pPr>
        <w:spacing w:line="324" w:lineRule="auto" w:after="120"/>
        <w:ind w:firstLine="420"/>
      </w:pPr>
      <w:r>
        <w:rPr>
          <w:rFonts w:ascii="宋体" w:hAnsi="宋体" w:eastAsia="宋体"/>
          <w:sz w:val="22"/>
        </w:rPr>
        <w:t>防范恶意代码传播应坚持“人、终端、网络、应用、数据”协同治理。个人层面要提高安全意识，不随意打开陌生附件，不安装来源不明的软件，不把 U 盘在多台设备之间无检查地混用。终端层面应及时更新操作系统和应用补丁，开启杀毒与主机防护，关闭不必要的自动运行功能。网络层面要限制高危端口暴露，采用防火墙、入侵检测、邮件网关和 Web 安全网关。管理层面要落实最小权限、强口令、多因素认证、备份恢复和日志审计。对于学校和单位，还应定期开展漏洞扫描、钓鱼演练和应急演练，避免一次点击或一个弱口令演变成大范围感染。</w:t>
      </w:r>
    </w:p>
    <w:p>
      <w:pPr>
        <w:pStyle w:val="Heading1"/>
      </w:pPr>
      <w:r>
        <w:rPr>
          <w:rFonts w:ascii="黑体" w:hAnsi="黑体" w:eastAsia="黑体"/>
          <w:color w:val="1F4E79"/>
        </w:rPr>
        <w:t>二、什么是僵尸程序和僵尸网络，有何危害</w:t>
      </w:r>
    </w:p>
    <w:p>
      <w:pPr>
        <w:spacing w:line="324" w:lineRule="auto" w:after="120"/>
        <w:ind w:firstLine="420"/>
      </w:pPr>
      <w:r>
        <w:rPr>
          <w:rFonts w:ascii="宋体" w:hAnsi="宋体" w:eastAsia="宋体"/>
          <w:sz w:val="22"/>
        </w:rPr>
        <w:t>僵尸程序通常指被攻击者植入受害主机中的远程控制程序。受害设备表面上仍能正常使用，但实际已经被攻击者控制，可以接收命令、执行下载、扫描、攻击、窃密、代理转发等操作。被控制的主机常被称为“僵尸主机”。</w:t>
      </w:r>
    </w:p>
    <w:p>
      <w:pPr>
        <w:spacing w:line="324" w:lineRule="auto" w:after="120"/>
        <w:ind w:firstLine="420"/>
      </w:pPr>
      <w:r>
        <w:rPr>
          <w:rFonts w:ascii="宋体" w:hAnsi="宋体" w:eastAsia="宋体"/>
          <w:sz w:val="22"/>
        </w:rPr>
        <w:t>僵尸网络是大量僵尸主机按照攻击者指令组成的控制网络。攻击者通过命令控制服务器、P2P 控制结构、域名生成算法或社交平台等方式下发指令，使分散在不同地区的设备协同实施攻击。其危害主要体现在以下方面：</w:t>
      </w:r>
    </w:p>
    <w:p>
      <w:pPr>
        <w:pStyle w:val="ListBullet"/>
        <w:spacing w:line="300" w:lineRule="auto" w:after="80"/>
      </w:pPr>
      <w:r>
        <w:rPr>
          <w:rFonts w:ascii="宋体" w:hAnsi="宋体" w:eastAsia="宋体"/>
          <w:sz w:val="21"/>
        </w:rPr>
        <w:t>发动 DDoS 攻击，利用大量主机同时访问目标网站或服务器，造成服务瘫痪。</w:t>
      </w:r>
    </w:p>
    <w:p>
      <w:pPr>
        <w:pStyle w:val="ListBullet"/>
        <w:spacing w:line="300" w:lineRule="auto" w:after="80"/>
      </w:pPr>
      <w:r>
        <w:rPr>
          <w:rFonts w:ascii="宋体" w:hAnsi="宋体" w:eastAsia="宋体"/>
          <w:sz w:val="21"/>
        </w:rPr>
        <w:t>发送垃圾邮件、钓鱼邮件和恶意链接，扩大诈骗、木马和勒索软件传播范围。</w:t>
      </w:r>
    </w:p>
    <w:p>
      <w:pPr>
        <w:pStyle w:val="ListBullet"/>
        <w:spacing w:line="300" w:lineRule="auto" w:after="80"/>
      </w:pPr>
      <w:r>
        <w:rPr>
          <w:rFonts w:ascii="宋体" w:hAnsi="宋体" w:eastAsia="宋体"/>
          <w:sz w:val="21"/>
        </w:rPr>
        <w:t>窃取账号、浏览器 Cookie、文件、键盘记录和隐私数据，导致个人和单位信息泄露。</w:t>
      </w:r>
    </w:p>
    <w:p>
      <w:pPr>
        <w:pStyle w:val="ListBullet"/>
        <w:spacing w:line="300" w:lineRule="auto" w:after="80"/>
      </w:pPr>
      <w:r>
        <w:rPr>
          <w:rFonts w:ascii="宋体" w:hAnsi="宋体" w:eastAsia="宋体"/>
          <w:sz w:val="21"/>
        </w:rPr>
        <w:t>作为攻击跳板隐藏攻击者真实来源，使溯源和取证更困难。</w:t>
      </w:r>
    </w:p>
    <w:p>
      <w:pPr>
        <w:pStyle w:val="ListBullet"/>
        <w:spacing w:line="300" w:lineRule="auto" w:after="80"/>
      </w:pPr>
      <w:r>
        <w:rPr>
          <w:rFonts w:ascii="宋体" w:hAnsi="宋体" w:eastAsia="宋体"/>
          <w:sz w:val="21"/>
        </w:rPr>
        <w:t>控制物联网摄像头、路由器等设备，形成长期潜伏的网络基础设施威胁。</w:t>
      </w:r>
    </w:p>
    <w:p>
      <w:pPr>
        <w:pStyle w:val="ListBullet"/>
        <w:spacing w:line="300" w:lineRule="auto" w:after="80"/>
      </w:pPr>
      <w:r>
        <w:rPr>
          <w:rFonts w:ascii="宋体" w:hAnsi="宋体" w:eastAsia="宋体"/>
          <w:sz w:val="21"/>
        </w:rPr>
        <w:t>消耗受害设备资源，导致电脑卡顿、流量异常、电费增加，甚至被用于挖矿牟利。</w:t>
      </w:r>
    </w:p>
    <w:p>
      <w:pPr>
        <w:spacing w:line="324" w:lineRule="auto" w:after="120"/>
        <w:ind w:firstLine="420"/>
      </w:pPr>
      <w:r>
        <w:rPr>
          <w:rFonts w:ascii="宋体" w:hAnsi="宋体" w:eastAsia="宋体"/>
          <w:sz w:val="22"/>
        </w:rPr>
        <w:t>因此，治理僵尸网络既需要用户加固终端，也需要运营商、安全机构、厂商和监管部门协同处置，包括封堵控制域名、清理恶意样本、通报受感染主机、修复漏洞和提升默认口令安全。</w:t>
      </w:r>
    </w:p>
    <w:p>
      <w:pPr>
        <w:pStyle w:val="Heading1"/>
      </w:pPr>
      <w:r>
        <w:rPr>
          <w:rFonts w:ascii="黑体" w:hAnsi="黑体" w:eastAsia="黑体"/>
          <w:color w:val="1F4E79"/>
        </w:rPr>
        <w:t>三、典型漏洞、产生原因及防护思路</w:t>
      </w:r>
    </w:p>
    <w:p>
      <w:pPr>
        <w:spacing w:line="324" w:lineRule="auto" w:after="120"/>
        <w:ind w:firstLine="420"/>
      </w:pPr>
      <w:r>
        <w:rPr>
          <w:rFonts w:ascii="宋体" w:hAnsi="宋体" w:eastAsia="宋体"/>
          <w:sz w:val="22"/>
        </w:rPr>
        <w:t>漏洞是信息系统在设计、编码、配置、部署或运维过程中形成的安全缺陷。典型漏洞及原因如下。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漏洞类型</w:t>
            </w:r>
          </w:p>
        </w:tc>
        <w:tc>
          <w:tcPr>
            <w:tcW w:type="dxa" w:w="31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产生原因</w:t>
            </w:r>
          </w:p>
        </w:tc>
        <w:tc>
          <w:tcPr>
            <w:tcW w:type="dxa" w:w="31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可能危害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SQL 注入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程序把用户输入直接拼接进 SQL 语句，缺少参数化查询和输入校验。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绕过登录、拖库、篡改成绩或业务数据。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跨站脚本 XSS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页面未对用户输入和输出进行转义，攻击脚本被浏览器执行。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盗取 Cookie、劫持会话、冒充用户操作。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文件上传漏洞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只检查文件后缀或 Content-Type，未校验内容、权限和存储路径。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上传 WebShell，获得服务器控制权。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越权访问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只在前端隐藏按钮，后端没有检查用户身份和资源归属。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普通用户查看或修改他人数据。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缓冲区溢出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C/C++ 程序未检查边界，写入超过缓冲区长度。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程序崩溃、远程代码执行、提权。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弱口令与默认口令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账号策略薄弱，设备或系统上线后未修改默认密码。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被爆破登录，成为入侵入口。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配置错误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调试接口、目录列表、敏感端口或云存储权限暴露。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源代码、密钥、数据库或个人信息泄露。</w:t>
            </w:r>
          </w:p>
        </w:tc>
      </w:tr>
    </w:tbl>
    <w:p>
      <w:pPr>
        <w:spacing w:line="324" w:lineRule="auto" w:after="120"/>
        <w:ind w:firstLine="420"/>
      </w:pPr>
      <w:r>
        <w:rPr>
          <w:rFonts w:ascii="宋体" w:hAnsi="宋体" w:eastAsia="宋体"/>
          <w:sz w:val="22"/>
        </w:rPr>
        <w:t>漏洞很难被完全杜绝。原因在于软件规模越来越大，依赖组件越来越复杂，业务需求不断变化，开发人员认知和测试覆盖也存在边界。即使某个系统当前没有已知漏洞，也可能在新功能上线、依赖升级、配置变更或攻击技术进步后暴露新风险。因此，安全目标不应是“永远没有漏洞”，而应是“尽早发现、快速修复、降低利用成功率和危害范围”。</w:t>
      </w:r>
    </w:p>
    <w:p>
      <w:pPr>
        <w:spacing w:line="324" w:lineRule="auto" w:after="120"/>
        <w:ind w:firstLine="420"/>
      </w:pPr>
      <w:r>
        <w:rPr>
          <w:rFonts w:ascii="宋体" w:hAnsi="宋体" w:eastAsia="宋体"/>
          <w:sz w:val="22"/>
        </w:rPr>
        <w:t>防止漏洞造成危害，需要建立全生命周期防护：开发阶段进行安全需求分析、代码审计、参数化查询、权限模型设计和依赖组件管理；测试阶段开展漏洞扫描、渗透测试和模糊测试；部署阶段最小化暴露面，关闭默认账号和不必要端口，启用 HTTPS、WAF、主机防护和日志审计；运维阶段建立漏洞通报、补丁评估、灰度升级、备份恢复和应急响应机制。对高危漏洞，必须做到定级、确认影响范围、临时缓解、补丁修复和复盘闭环。</w:t>
      </w:r>
    </w:p>
    <w:p>
      <w:pPr>
        <w:pStyle w:val="Heading1"/>
      </w:pPr>
      <w:r>
        <w:rPr>
          <w:rFonts w:ascii="黑体" w:hAnsi="黑体" w:eastAsia="黑体"/>
          <w:color w:val="1F4E79"/>
        </w:rPr>
        <w:t>四、校园网信息系统可能存在的漏洞和威胁</w:t>
      </w:r>
    </w:p>
    <w:p>
      <w:pPr>
        <w:spacing w:line="324" w:lineRule="auto" w:after="120"/>
        <w:ind w:firstLine="420"/>
      </w:pPr>
      <w:r>
        <w:rPr>
          <w:rFonts w:ascii="宋体" w:hAnsi="宋体" w:eastAsia="宋体"/>
          <w:sz w:val="22"/>
        </w:rPr>
        <w:t>以教务管理系统、学生成绩查询系统为例，其安全目标包括身份真实性、数据保密性、成绩完整性、服务可用性和操作可追溯性。校园网系统用户多、角色复杂、访问时间集中，既面临外部攻击，也面临内部越权和误操作风险。</w:t>
      </w:r>
    </w:p>
    <w:p>
      <w:pPr>
        <w:pStyle w:val="ListBullet"/>
        <w:spacing w:line="300" w:lineRule="auto" w:after="80"/>
      </w:pPr>
      <w:r>
        <w:rPr>
          <w:rFonts w:ascii="宋体" w:hAnsi="宋体" w:eastAsia="宋体"/>
          <w:sz w:val="21"/>
        </w:rPr>
        <w:t>身份认证风险：弱口令、学号作为默认密码、验证码缺陷、找回密码问题过于简单、会话超时设置不合理。</w:t>
      </w:r>
    </w:p>
    <w:p>
      <w:pPr>
        <w:pStyle w:val="ListBullet"/>
        <w:spacing w:line="300" w:lineRule="auto" w:after="80"/>
      </w:pPr>
      <w:r>
        <w:rPr>
          <w:rFonts w:ascii="宋体" w:hAnsi="宋体" w:eastAsia="宋体"/>
          <w:sz w:val="21"/>
        </w:rPr>
        <w:t>权限控制风险：学生越权查看他人成绩，教师越权修改非本人课程成绩，管理员接口缺少二次确认。</w:t>
      </w:r>
    </w:p>
    <w:p>
      <w:pPr>
        <w:pStyle w:val="ListBullet"/>
        <w:spacing w:line="300" w:lineRule="auto" w:after="80"/>
      </w:pPr>
      <w:r>
        <w:rPr>
          <w:rFonts w:ascii="宋体" w:hAnsi="宋体" w:eastAsia="宋体"/>
          <w:sz w:val="21"/>
        </w:rPr>
        <w:t>Web 应用漏洞：SQL 注入、XSS、CSRF、文件上传、路径遍历、接口未鉴权等。</w:t>
      </w:r>
    </w:p>
    <w:p>
      <w:pPr>
        <w:pStyle w:val="ListBullet"/>
        <w:spacing w:line="300" w:lineRule="auto" w:after="80"/>
      </w:pPr>
      <w:r>
        <w:rPr>
          <w:rFonts w:ascii="宋体" w:hAnsi="宋体" w:eastAsia="宋体"/>
          <w:sz w:val="21"/>
        </w:rPr>
        <w:t>数据泄露风险：导出的 Excel 成绩表、身份证号、手机号、家庭住址等敏感数据未脱敏或被误发。</w:t>
      </w:r>
    </w:p>
    <w:p>
      <w:pPr>
        <w:pStyle w:val="ListBullet"/>
        <w:spacing w:line="300" w:lineRule="auto" w:after="80"/>
      </w:pPr>
      <w:r>
        <w:rPr>
          <w:rFonts w:ascii="宋体" w:hAnsi="宋体" w:eastAsia="宋体"/>
          <w:sz w:val="21"/>
        </w:rPr>
        <w:t>接口与移动端风险：App、小程序、统一身份认证接口和第三方系统对接时，Token 泄露或接口签名校验不足。</w:t>
      </w:r>
    </w:p>
    <w:p>
      <w:pPr>
        <w:pStyle w:val="ListBullet"/>
        <w:spacing w:line="300" w:lineRule="auto" w:after="80"/>
      </w:pPr>
      <w:r>
        <w:rPr>
          <w:rFonts w:ascii="宋体" w:hAnsi="宋体" w:eastAsia="宋体"/>
          <w:sz w:val="21"/>
        </w:rPr>
        <w:t>运维配置风险：测试环境连接真实数据库，后台管理入口暴露公网，服务器补丁滞后，日志中记录明文密码。</w:t>
      </w:r>
    </w:p>
    <w:p>
      <w:pPr>
        <w:pStyle w:val="ListBullet"/>
        <w:spacing w:line="300" w:lineRule="auto" w:after="80"/>
      </w:pPr>
      <w:r>
        <w:rPr>
          <w:rFonts w:ascii="宋体" w:hAnsi="宋体" w:eastAsia="宋体"/>
          <w:sz w:val="21"/>
        </w:rPr>
        <w:t>可用性威胁：选课、查分、缴费等高峰期可能遭遇拥塞、爬虫、恶意刷接口或 DDoS 攻击。</w:t>
      </w:r>
    </w:p>
    <w:p>
      <w:pPr>
        <w:pStyle w:val="ListBullet"/>
        <w:spacing w:line="300" w:lineRule="auto" w:after="80"/>
      </w:pPr>
      <w:r>
        <w:rPr>
          <w:rFonts w:ascii="宋体" w:hAnsi="宋体" w:eastAsia="宋体"/>
          <w:sz w:val="21"/>
        </w:rPr>
        <w:t>内部人员风险：管理员账号共享、离职人员权限未回收、教师电脑中毒后成绩管理账号被盗用。</w:t>
      </w:r>
    </w:p>
    <w:p>
      <w:pPr>
        <w:spacing w:line="324" w:lineRule="auto" w:after="120"/>
        <w:ind w:firstLine="420"/>
      </w:pPr>
      <w:r>
        <w:rPr>
          <w:rFonts w:ascii="宋体" w:hAnsi="宋体" w:eastAsia="宋体"/>
          <w:sz w:val="22"/>
        </w:rPr>
        <w:t>针对校园网系统，建议采用统一身份认证和多因素认证，强制修改默认密码；按角色、课程、学院和数据归属实施细粒度授权；对成绩修改、批量导出、管理员登录等敏感操作进行日志审计和二次确认；对个人信息进行脱敏展示；定期开展代码审计、漏洞扫描和渗透测试；关键数据库实施备份、容灾和最小权限访问。学生和教师端也要加强安全教育，避免账号外借和在不可信设备上登录。</w:t>
      </w:r>
    </w:p>
    <w:p>
      <w:pPr>
        <w:sectPr>
          <w:headerReference w:type="default" r:id="rId9"/>
          <w:footerReference w:type="default" r:id="rId10"/>
          <w:pgSz w:w="12240" w:h="15840"/>
          <w:pgMar w:top="1361" w:right="1417" w:bottom="1247" w:left="1417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黑体" w:hAnsi="黑体" w:eastAsia="黑体"/>
          <w:color w:val="1F4E79"/>
        </w:rPr>
        <w:t>五、阅读报告：我国互联网网络安全态势与漏洞治理思考</w:t>
      </w:r>
    </w:p>
    <w:p>
      <w:pPr>
        <w:spacing w:line="324" w:lineRule="auto" w:after="120"/>
        <w:ind w:firstLine="420"/>
      </w:pPr>
      <w:r>
        <w:rPr>
          <w:rFonts w:ascii="宋体" w:hAnsi="宋体" w:eastAsia="宋体"/>
          <w:sz w:val="22"/>
        </w:rPr>
        <w:t>通过阅读国家互联网应急中心、国家信息安全漏洞共享平台等公开材料，可以看到当前网络安全威胁已经从单点攻击转向体系化、自动化和持续化攻击。攻击者不再只依赖某一种木马或某一个漏洞，而是会把钓鱼邮件、弱口令爆破、漏洞利用、权限提升、横向移动、数据窃取和勒索破坏串联起来。对于学校、企业和个人而言，网络安全不再只是安装杀毒软件的问题，而是涉及资产管理、漏洞治理、身份认证、数据保护、监测预警和应急响应的综合能力。</w:t>
      </w:r>
    </w:p>
    <w:p>
      <w:pPr>
        <w:spacing w:line="324" w:lineRule="auto" w:after="120"/>
        <w:ind w:firstLine="420"/>
      </w:pPr>
      <w:r>
        <w:rPr>
          <w:rFonts w:ascii="宋体" w:hAnsi="宋体" w:eastAsia="宋体"/>
          <w:sz w:val="22"/>
        </w:rPr>
        <w:t>首先，恶意代码传播仍然是重要威胁。随着办公系统、网盘、即时通信和移动终端被广泛使用，攻击者更容易利用“熟人关系”和“业务场景”降低用户警惕。例如伪装成通知文件、课程资料、报销材料、会议链接的恶意附件，往往比单纯的技术攻击更容易成功。一旦终端执行恶意代码，攻击者就可能窃取浏览器凭据、远程控制电脑，或者继续向通讯录联系人传播。因此，安全防护不能只依赖边界防火墙，还要关注终端行为检测、邮件过滤、宏脚本控制、下载文件信誉判断和用户安全意识培训。</w:t>
      </w:r>
    </w:p>
    <w:p>
      <w:pPr>
        <w:spacing w:line="324" w:lineRule="auto" w:after="120"/>
        <w:ind w:firstLine="420"/>
      </w:pPr>
      <w:r>
        <w:rPr>
          <w:rFonts w:ascii="宋体" w:hAnsi="宋体" w:eastAsia="宋体"/>
          <w:sz w:val="22"/>
        </w:rPr>
        <w:t>其次，漏洞风险呈现数量多、利用快、影响广的特点。CNVD 等漏洞平台的意义在于汇聚厂商、安全机构、运营单位和研究人员的漏洞信息，使漏洞能够被统一编号、验证、通报和处置。对防守方来说，漏洞信息不是简单的新闻，而是补丁优先级排序的依据。一个系统是否安全，不仅取决于是否存在漏洞，更取决于漏洞暴露面有多大、是否已经出现利用代码、系统中是否保存敏感数据、是否存在可替代的缓解措施。比如同样是 Web 漏洞，暴露在公网的教务系统后台显然比内网测试页面风险更高；同样是组件漏洞，直接处理用户上传文件的组件比离线工具更应优先修复。</w:t>
      </w:r>
    </w:p>
    <w:p>
      <w:pPr>
        <w:spacing w:line="324" w:lineRule="auto" w:after="120"/>
        <w:ind w:firstLine="420"/>
      </w:pPr>
      <w:r>
        <w:rPr>
          <w:rFonts w:ascii="宋体" w:hAnsi="宋体" w:eastAsia="宋体"/>
          <w:sz w:val="22"/>
        </w:rPr>
        <w:t>再次，僵尸网络和 DDoS 攻击说明大量普通设备也可能成为公共网络安全风险的一部分。摄像头、路由器、NAS、打印机等设备如果使用默认口令、固件长期不更新，就可能被攻击者批量控制。对个人来说，设备被控制会造成隐私泄露和网络异常；对社会来说，大量设备组成僵尸网络后可以攻击网站、游戏平台、学校服务平台甚至重要行业系统。因此，物联网设备也应纳入资产管理，定期修改默认口令、关闭不必要的远程访问、更新固件，并通过网络侧监测异常流量。</w:t>
      </w:r>
    </w:p>
    <w:p>
      <w:pPr>
        <w:spacing w:line="324" w:lineRule="auto" w:after="120"/>
        <w:ind w:firstLine="420"/>
      </w:pPr>
      <w:r>
        <w:rPr>
          <w:rFonts w:ascii="宋体" w:hAnsi="宋体" w:eastAsia="宋体"/>
          <w:sz w:val="22"/>
        </w:rPr>
        <w:t>结合校园场景，信息系统最值得关注的是身份、权限和数据。教务系统、成绩系统和统一认证平台承载大量学生个人信息和教学管理数据，一旦被攻击，可能导致成绩被篡改、个人信息泄露、账号被冒用，甚至影响学校正常教学秩序。校园系统用户基数大，学生安全意识差异明显，密码复用普遍存在，攻击者可以通过撞库、钓鱼和弱口令爆破获取入口。系统建设时应把“默认不信任”作为原则：前端隐藏按钮不能替代后端鉴权；登录成功不能代表可以访问所有资源；教师、学生、管理员必须按最小权限区分；成绩修改、批量导出、权限变更等操作必须可审计、可追溯、可回滚。</w:t>
      </w:r>
    </w:p>
    <w:p>
      <w:pPr>
        <w:spacing w:line="324" w:lineRule="auto" w:after="120"/>
        <w:ind w:firstLine="420"/>
      </w:pPr>
      <w:r>
        <w:rPr>
          <w:rFonts w:ascii="宋体" w:hAnsi="宋体" w:eastAsia="宋体"/>
          <w:sz w:val="22"/>
        </w:rPr>
        <w:t>从治理角度看，漏洞无法完全避免，但可以通过制度和技术降低风险。第一，要建立资产清单，知道自己有哪些服务器、域名、系统、接口、数据库和第三方组件。没有资产清单，就无法判断漏洞影响范围。第二，要建立补丁和变更流程，对高危漏洞快速处置，对一般漏洞按周期修复，同时避免补丁造成业务中断。第三，要建立监测能力，关注异常登录、异常导出、短时间大量请求、失败登录暴增、WebShell 文件落地等信号。第四，要建立应急预案，明确发现入侵后如何隔离主机、保护现场、备份日志、重置凭据、通知用户和恢复业务。第五，要开展安全教育，让普通用户知道钓鱼邮件、恶意附件、弱口令和账号外借的危害。</w:t>
      </w:r>
    </w:p>
    <w:p>
      <w:pPr>
        <w:spacing w:line="324" w:lineRule="auto" w:after="120"/>
        <w:ind w:firstLine="420"/>
      </w:pPr>
      <w:r>
        <w:rPr>
          <w:rFonts w:ascii="宋体" w:hAnsi="宋体" w:eastAsia="宋体"/>
          <w:sz w:val="22"/>
        </w:rPr>
        <w:t>总体来看，网络安全态势的核心变化是攻击门槛降低而防守复杂度升高。自动化扫描工具、公开漏洞利用代码和黑灰产分工，使攻击者可以更快发现和利用薄弱系统；而防守方必须同时面对人员、技术、流程和管理问题。阅读相关报告后，我认为安全建设不能追求一次性“做完”，而要形成持续改进机制。对个人来说，要养成更新系统、使用强密码、开启多因素认证、谨慎打开附件和备份重要数据的习惯。对学校和单位来说，要把漏洞管理、日志审计、权限治理和应急响应纳入日常工作。只有把安全从“出事后补救”转变为“事前预防、事中发现、事后复盘”，才能真正降低恶意代码、漏洞利用和数据泄露带来的危害。</w:t>
      </w:r>
    </w:p>
    <w:p>
      <w:pPr>
        <w:pStyle w:val="Heading1"/>
      </w:pPr>
      <w:r>
        <w:rPr>
          <w:rFonts w:ascii="黑体" w:hAnsi="黑体" w:eastAsia="黑体"/>
          <w:color w:val="1F4E79"/>
        </w:rPr>
        <w:t>参考资料</w:t>
      </w:r>
    </w:p>
    <w:p>
      <w:pPr>
        <w:pStyle w:val="ListNumber"/>
        <w:spacing w:line="300" w:lineRule="auto" w:after="80"/>
      </w:pPr>
      <w:r>
        <w:rPr>
          <w:rFonts w:ascii="宋体" w:hAnsi="宋体" w:eastAsia="宋体"/>
          <w:sz w:val="21"/>
        </w:rPr>
        <w:t>国家互联网应急中心（CNCERT）：https://www.cert.org.cn/publish/main/17/index.html</w:t>
      </w:r>
    </w:p>
    <w:p>
      <w:pPr>
        <w:pStyle w:val="ListNumber"/>
        <w:spacing w:line="300" w:lineRule="auto" w:after="80"/>
      </w:pPr>
      <w:r>
        <w:rPr>
          <w:rFonts w:ascii="宋体" w:hAnsi="宋体" w:eastAsia="宋体"/>
          <w:sz w:val="21"/>
        </w:rPr>
        <w:t>国家信息安全漏洞共享平台（CNVD）：https://www.cnvd.org.cn/</w:t>
      </w:r>
    </w:p>
    <w:p>
      <w:pPr>
        <w:pStyle w:val="ListNumber"/>
        <w:spacing w:line="300" w:lineRule="auto" w:after="80"/>
      </w:pPr>
      <w:r>
        <w:rPr>
          <w:rFonts w:ascii="宋体" w:hAnsi="宋体" w:eastAsia="宋体"/>
          <w:sz w:val="21"/>
        </w:rPr>
        <w:t>CNCERT 互联网安全威胁报告与相关公开材料：https://www.cert.org.cn/</w:t>
      </w:r>
    </w:p>
    <w:p>
      <w:pPr>
        <w:pStyle w:val="ListNumber"/>
        <w:spacing w:line="300" w:lineRule="auto" w:after="80"/>
      </w:pPr>
      <w:r>
        <w:rPr>
          <w:rFonts w:ascii="宋体" w:hAnsi="宋体" w:eastAsia="宋体"/>
          <w:sz w:val="21"/>
        </w:rPr>
        <w:t>CNVD 漏洞周报与漏洞通报公开信息：https://www.cnvd.org.cn/flaw/list</w:t>
      </w:r>
    </w:p>
    <w:sectPr w:rsidR="00FC693F" w:rsidRPr="0006063C" w:rsidSect="00034616">
      <w:pgSz w:w="12240" w:h="15840"/>
      <w:pgMar w:top="1361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</w:rPr>
      <w:t xml:space="preserve">第 </w:t>
      <w:fldChar w:fldCharType="begin"/>
      <w:instrText>PAGE</w:instrText>
      <w:fldChar w:fldCharType="end"/>
    </w:r>
    <w:r>
      <w:rPr>
        <w:rFonts w:ascii="宋体" w:hAnsi="宋体" w:eastAsia="宋体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color w:val="646464"/>
        <w:sz w:val="18"/>
      </w:rPr>
      <w:t>信息安全作业一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