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23699AD2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106984">
        <w:rPr>
          <w:rFonts w:hint="eastAsia"/>
          <w:sz w:val="24"/>
          <w:szCs w:val="24"/>
        </w:rPr>
        <w:t>１６</w:t>
      </w:r>
    </w:p>
    <w:p w14:paraId="27C667BA" w14:textId="77777777" w:rsidR="00162851" w:rsidRDefault="00162851"/>
    <w:p w14:paraId="266F3333" w14:textId="713E6682" w:rsidR="00A26D7A" w:rsidRDefault="00A26D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Biotechnol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15: 1900492</w:t>
      </w:r>
    </w:p>
    <w:p w14:paraId="5B7B49AC" w14:textId="77777777" w:rsidR="00A26D7A" w:rsidRPr="00A26D7A" w:rsidRDefault="00A26D7A">
      <w:pPr>
        <w:rPr>
          <w:rFonts w:ascii="Times New Roman" w:hAnsi="Times New Roman" w:cs="Times New Roman"/>
          <w:sz w:val="24"/>
          <w:szCs w:val="24"/>
        </w:rPr>
      </w:pPr>
    </w:p>
    <w:p w14:paraId="287F062C" w14:textId="6FE22423" w:rsidR="00FD7384" w:rsidRPr="00A26D7A" w:rsidRDefault="00A26D7A" w:rsidP="00162851">
      <w:pPr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Overexpression of transcription factor ZNF1 of glycolysis improves bioethanol productivity under high glucose concentration and enhances acetic acid tolerance of </w:t>
      </w:r>
      <w:r w:rsidRPr="00A26D7A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</w:p>
    <w:p w14:paraId="3869D9B4" w14:textId="77777777" w:rsidR="00953AA0" w:rsidRPr="00A26D7A" w:rsidRDefault="00953AA0" w:rsidP="00162851">
      <w:pPr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</w:pPr>
    </w:p>
    <w:p w14:paraId="60407DED" w14:textId="55F94356" w:rsidR="00FD7384" w:rsidRDefault="00A26D7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Patlanan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Songdech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0EB9597A" w:rsidR="00FD7384" w:rsidRDefault="00A26D7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ahidol Univ., Thailand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43B7AD5E" w14:textId="6FC3B1F5" w:rsidR="00C860DA" w:rsidRDefault="00C860DA" w:rsidP="00C860DA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転写因子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NF1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DC1, ADH1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の強力なアクティベーターであり、エタノールを酵母が消費するときにはたらく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DH2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を抑制する。</w:t>
      </w:r>
    </w:p>
    <w:p w14:paraId="28AA6314" w14:textId="135E3CC9" w:rsidR="00C860DA" w:rsidRDefault="00C860DA" w:rsidP="00C860DA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Pr="002D623F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Saccharomyces cerevisiae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FY73, BY4742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について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NF1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を多コピープラスミドの形で導入し、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NF1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過剰発現株を作製した。</w:t>
      </w:r>
    </w:p>
    <w:p w14:paraId="68B4316F" w14:textId="168A5398" w:rsidR="00AA6C0B" w:rsidRDefault="00C860DA" w:rsidP="00C860DA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 w:rsidR="00340E3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グルコース濃度</w:t>
      </w:r>
      <w:r w:rsidR="00340E3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 w:rsidR="00340E36">
        <w:rPr>
          <w:rFonts w:ascii="Times New Roman" w:eastAsiaTheme="minorHAnsi" w:hAnsi="Times New Roman" w:cs="Times New Roman"/>
          <w:kern w:val="0"/>
          <w:sz w:val="24"/>
          <w:szCs w:val="24"/>
        </w:rPr>
        <w:t>0%(w/v</w:t>
      </w:r>
      <w:r w:rsidR="00340E3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)</w:t>
      </w:r>
      <w:r w:rsidR="00340E3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</w:t>
      </w:r>
      <w:r w:rsidR="00340E3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 w:rsidR="00340E36">
        <w:rPr>
          <w:rFonts w:ascii="Times New Roman" w:eastAsiaTheme="minorHAnsi" w:hAnsi="Times New Roman" w:cs="Times New Roman"/>
          <w:kern w:val="0"/>
          <w:sz w:val="24"/>
          <w:szCs w:val="24"/>
        </w:rPr>
        <w:t>PD</w:t>
      </w:r>
      <w:r w:rsidR="00340E3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フラスコ培養で培養評価したところ、親株は</w:t>
      </w:r>
      <w:r w:rsidR="00340E3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 w:rsidR="00340E36">
        <w:rPr>
          <w:rFonts w:ascii="Times New Roman" w:eastAsiaTheme="minorHAnsi" w:hAnsi="Times New Roman" w:cs="Times New Roman"/>
          <w:kern w:val="0"/>
          <w:sz w:val="24"/>
          <w:szCs w:val="24"/>
        </w:rPr>
        <w:t>6</w:t>
      </w:r>
      <w:r w:rsidR="00340E3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 w:rsidR="00340E3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 w:rsidR="00340E36">
        <w:rPr>
          <w:rFonts w:ascii="Times New Roman" w:eastAsiaTheme="minorHAnsi" w:hAnsi="Times New Roman" w:cs="Times New Roman"/>
          <w:kern w:val="0"/>
          <w:sz w:val="24"/>
          <w:szCs w:val="24"/>
        </w:rPr>
        <w:t>8</w:t>
      </w:r>
      <w:r w:rsidR="00340E3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時間でグルコースを完全に消費したが、過剰発現株は</w:t>
      </w:r>
      <w:r w:rsidR="00340E3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 w:rsidR="00340E36">
        <w:rPr>
          <w:rFonts w:ascii="Times New Roman" w:eastAsiaTheme="minorHAnsi" w:hAnsi="Times New Roman" w:cs="Times New Roman"/>
          <w:kern w:val="0"/>
          <w:sz w:val="24"/>
          <w:szCs w:val="24"/>
        </w:rPr>
        <w:t>4</w:t>
      </w:r>
      <w:r w:rsidR="00340E3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時間以内に消費した。</w:t>
      </w:r>
      <w:r w:rsidR="00AA6C0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遺伝子発現を調べたところ解糖系の下流経路が活性化されており、その効果は恒常性プロモーターより誘導性プロモーターのほうが大きかった。</w:t>
      </w:r>
    </w:p>
    <w:p w14:paraId="6430F11F" w14:textId="47886EA6" w:rsidR="00C860DA" w:rsidRPr="00340E36" w:rsidRDefault="00AA6C0B" w:rsidP="00C860DA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エタノール生産は、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BY4742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株について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時間の培養で恒常性プロモーター（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PI1p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2.5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から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6.1g/L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に、誘導性プロモーター（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AL1p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）では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2.7g/L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まで向上した。</w:t>
      </w:r>
    </w:p>
    <w:sectPr w:rsidR="00C860DA" w:rsidRPr="00340E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06984"/>
    <w:rsid w:val="00162851"/>
    <w:rsid w:val="002D623F"/>
    <w:rsid w:val="00340E36"/>
    <w:rsid w:val="00691A2F"/>
    <w:rsid w:val="00891432"/>
    <w:rsid w:val="00953AA0"/>
    <w:rsid w:val="00A26D7A"/>
    <w:rsid w:val="00AA6C0B"/>
    <w:rsid w:val="00C860DA"/>
    <w:rsid w:val="00F413D0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5</cp:revision>
  <dcterms:created xsi:type="dcterms:W3CDTF">2024-12-01T23:49:00Z</dcterms:created>
  <dcterms:modified xsi:type="dcterms:W3CDTF">2024-12-02T00:15:00Z</dcterms:modified>
</cp:coreProperties>
</file>