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67DE0081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5099D">
        <w:rPr>
          <w:rFonts w:hint="eastAsia"/>
          <w:sz w:val="24"/>
          <w:szCs w:val="24"/>
        </w:rPr>
        <w:t>７</w:t>
      </w:r>
    </w:p>
    <w:p w14:paraId="27C667BA" w14:textId="77777777" w:rsidR="00162851" w:rsidRDefault="00162851"/>
    <w:p w14:paraId="0186089D" w14:textId="5861ED74" w:rsidR="00162851" w:rsidRDefault="00650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Cytology and Genetics 54(5) 398-407 (2020)</w:t>
      </w:r>
    </w:p>
    <w:p w14:paraId="7627EEB7" w14:textId="77777777" w:rsidR="0065099D" w:rsidRPr="00FD7384" w:rsidRDefault="0065099D">
      <w:pPr>
        <w:rPr>
          <w:rFonts w:ascii="Times New Roman" w:hAnsi="Times New Roman" w:cs="Times New Roman"/>
          <w:sz w:val="24"/>
          <w:szCs w:val="24"/>
        </w:rPr>
      </w:pPr>
    </w:p>
    <w:p w14:paraId="287F062C" w14:textId="0636D8E9" w:rsidR="00FD7384" w:rsidRDefault="0065099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Adaptive evolution for the improvement of ethanol production during alcoholic fermentation with the industrial strains of yeast 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8F5C4ED" w:rsidR="00FD7384" w:rsidRPr="0065099D" w:rsidRDefault="0065099D" w:rsidP="0065099D">
      <w:pPr>
        <w:pStyle w:val="a3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Zazulya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953AA0" w:rsidRPr="0065099D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65099D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404597B4" w:rsidR="00FD7384" w:rsidRDefault="0065099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ational Academy of Sciences of Ukraine, Ukraine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4AB9C2D" w14:textId="0B582F98" w:rsidR="00BF13A6" w:rsidRDefault="00BF13A6" w:rsidP="00ED194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種の産業用酵母（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Y7221, AS400, AS400-510-43, Y-563, PE-2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）の中で</w:t>
      </w:r>
      <w:r w:rsidR="00ED194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もっとも高いエタノール生産を示した</w:t>
      </w:r>
      <w:r w:rsidR="00ED194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 w:rsidR="00ED1945">
        <w:rPr>
          <w:rFonts w:ascii="Times New Roman" w:eastAsiaTheme="minorHAnsi" w:hAnsi="Times New Roman" w:cs="Times New Roman"/>
          <w:kern w:val="0"/>
          <w:sz w:val="24"/>
          <w:szCs w:val="24"/>
        </w:rPr>
        <w:t>S400-510-43</w:t>
      </w:r>
      <w:r w:rsidR="00ED1945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株について高濃度グルコース、高濃度エタノールに対する適応進化を試みた。</w:t>
      </w:r>
    </w:p>
    <w:p w14:paraId="5A6BAFEF" w14:textId="1B1550D4" w:rsidR="00ED1945" w:rsidRDefault="00ED1945" w:rsidP="00ED194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S400-510-43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S400</w:t>
      </w:r>
      <w:r w:rsidR="00A8530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 w:rsidR="00A8530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 w:rsidR="00A8530B">
        <w:rPr>
          <w:rFonts w:ascii="Times New Roman" w:eastAsiaTheme="minorHAnsi" w:hAnsi="Times New Roman" w:cs="Times New Roman"/>
          <w:kern w:val="0"/>
          <w:sz w:val="24"/>
          <w:szCs w:val="24"/>
        </w:rPr>
        <w:t>lyoxylic acid, glucosamine</w:t>
      </w:r>
      <w:r w:rsidR="00A8530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耐性株）</w:t>
      </w:r>
    </w:p>
    <w:p w14:paraId="44B7D1E0" w14:textId="3C263C5A" w:rsidR="00A8530B" w:rsidRDefault="00A8530B" w:rsidP="00ED194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エタノールから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エタノールまで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か月かけて適応させながら継代培養をおこなった。</w:t>
      </w:r>
    </w:p>
    <w:p w14:paraId="124C7007" w14:textId="17B73B2F" w:rsidR="00A8530B" w:rsidRPr="00FD7384" w:rsidRDefault="00A8530B" w:rsidP="00ED1945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S400-510-43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株から得られた適応株で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NB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培地で培養評価をおこなったところ、親株より多くエタノール（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6.5g/L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）を生産する株が得られた。この株は親株よりグリセロール含量が低かった。</w:t>
      </w:r>
    </w:p>
    <w:sectPr w:rsidR="00A8530B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2423"/>
    <w:multiLevelType w:val="hybridMultilevel"/>
    <w:tmpl w:val="67AA5E94"/>
    <w:lvl w:ilvl="0" w:tplc="335A93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0360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65099D"/>
    <w:rsid w:val="00891432"/>
    <w:rsid w:val="00953AA0"/>
    <w:rsid w:val="00A8530B"/>
    <w:rsid w:val="00BF13A6"/>
    <w:rsid w:val="00ED1945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9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4</cp:revision>
  <dcterms:created xsi:type="dcterms:W3CDTF">2024-11-25T00:50:00Z</dcterms:created>
  <dcterms:modified xsi:type="dcterms:W3CDTF">2024-11-25T04:05:00Z</dcterms:modified>
</cp:coreProperties>
</file>