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8"/>
        </w:rPr>
        <w:t>3-Day Challenge Launch OS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24"/>
        </w:rPr>
        <w:t>全体ロードマップ / この順番で進めればOK</w:t>
      </w:r>
    </w:p>
    <w:p>
      <w:pPr>
        <w:jc w:val="center"/>
      </w:pPr>
      <w:r>
        <w:rPr>
          <w:color w:val="5A5A5A"/>
          <w:sz w:val="18"/>
        </w:rPr>
        <w:t>Version 1.0 / 2026-06-26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>このファイルの使い方</w:t>
            </w:r>
          </w:p>
          <w:p>
            <w:pPr>
              <w:spacing w:after="80"/>
            </w:pPr>
            <w:r>
              <w:t>本セットは「読む本」と「実行できるシステム」の2層構造です。まず理論編で全体像を理解し、次に実行システムのチェックリストに沿って準備・運営・改善してください。</w:t>
            </w:r>
          </w:p>
        </w:tc>
      </w:tr>
    </w:tbl>
    <w:p>
      <w:pPr>
        <w:pStyle w:val="Heading1"/>
      </w:pPr>
      <w:r>
        <w:t>納品物一覧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ファイル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使い方</w:t>
            </w:r>
          </w:p>
        </w:tc>
      </w:tr>
      <w:tr>
        <w:tc>
          <w:tcPr>
            <w:tcW w:type="dxa" w:w="3408"/>
            <w:vAlign w:val="top"/>
          </w:tcPr>
          <w:p>
            <w:r>
              <w:t>01_読む本_理論編.docx</w:t>
            </w:r>
          </w:p>
        </w:tc>
        <w:tc>
          <w:tcPr>
            <w:tcW w:type="dxa" w:w="3408"/>
            <w:vAlign w:val="top"/>
          </w:tcPr>
          <w:p>
            <w:r>
              <w:t>なぜこの順番で進めるのかを理解する</w:t>
            </w:r>
          </w:p>
        </w:tc>
        <w:tc>
          <w:tcPr>
            <w:tcW w:type="dxa" w:w="3408"/>
            <w:vAlign w:val="top"/>
          </w:tcPr>
          <w:p>
            <w:r>
              <w:t>最初に読む。心理・マーケティング・学習科学の根拠を把握する。</w:t>
            </w:r>
          </w:p>
        </w:tc>
      </w:tr>
      <w:tr>
        <w:tc>
          <w:tcPr>
            <w:tcW w:type="dxa" w:w="3408"/>
            <w:vAlign w:val="top"/>
          </w:tcPr>
          <w:p>
            <w:r>
              <w:t>02_実行システム_運営マニュアル.docx</w:t>
            </w:r>
          </w:p>
        </w:tc>
        <w:tc>
          <w:tcPr>
            <w:tcW w:type="dxa" w:w="3408"/>
            <w:vAlign w:val="top"/>
          </w:tcPr>
          <w:p>
            <w:r>
              <w:t>上から順番に実行する手順書</w:t>
            </w:r>
          </w:p>
        </w:tc>
        <w:tc>
          <w:tcPr>
            <w:tcW w:type="dxa" w:w="3408"/>
            <w:vAlign w:val="top"/>
          </w:tcPr>
          <w:p>
            <w:r>
              <w:t>企画から3日間の運営、クロージング、改善までチェックして進める。</w:t>
            </w:r>
          </w:p>
        </w:tc>
      </w:tr>
      <w:tr>
        <w:tc>
          <w:tcPr>
            <w:tcW w:type="dxa" w:w="3408"/>
            <w:vAlign w:val="top"/>
          </w:tcPr>
          <w:p>
            <w:r>
              <w:t>03_テンプレート集.docx</w:t>
            </w:r>
          </w:p>
        </w:tc>
        <w:tc>
          <w:tcPr>
            <w:tcW w:type="dxa" w:w="3408"/>
            <w:vAlign w:val="top"/>
          </w:tcPr>
          <w:p>
            <w:r>
              <w:t>コピペして使う台本・LINE・メール・コメント返信</w:t>
            </w:r>
          </w:p>
        </w:tc>
        <w:tc>
          <w:tcPr>
            <w:tcW w:type="dxa" w:w="3408"/>
            <w:vAlign w:val="top"/>
          </w:tcPr>
          <w:p>
            <w:r>
              <w:t>実際の告知、当日の進行、返信、クロージングに使う。</w:t>
            </w:r>
          </w:p>
        </w:tc>
      </w:tr>
      <w:tr>
        <w:tc>
          <w:tcPr>
            <w:tcW w:type="dxa" w:w="3408"/>
            <w:vAlign w:val="top"/>
          </w:tcPr>
          <w:p>
            <w:r>
              <w:t>04_参考文献_根拠マップ.docx</w:t>
            </w:r>
          </w:p>
        </w:tc>
        <w:tc>
          <w:tcPr>
            <w:tcW w:type="dxa" w:w="3408"/>
            <w:vAlign w:val="top"/>
          </w:tcPr>
          <w:p>
            <w:r>
              <w:t>理論・研究・実務フレームの根拠整理</w:t>
            </w:r>
          </w:p>
        </w:tc>
        <w:tc>
          <w:tcPr>
            <w:tcW w:type="dxa" w:w="3408"/>
            <w:vAlign w:val="top"/>
          </w:tcPr>
          <w:p>
            <w:r>
              <w:t>社内説明、教材化、再設計時の根拠として使う。</w:t>
            </w:r>
          </w:p>
        </w:tc>
      </w:tr>
    </w:tbl>
    <w:p/>
    <w:p>
      <w:pPr>
        <w:pStyle w:val="Heading1"/>
      </w:pPr>
      <w:r>
        <w:t>全体フロー</w:t>
      </w:r>
    </w:p>
    <w:p>
      <w:pPr>
        <w:pStyle w:val="ListNumber"/>
      </w:pPr>
      <w:r>
        <w:t>STEP0：売る商品・提供する変化を決める</w:t>
      </w:r>
    </w:p>
    <w:p>
      <w:pPr>
        <w:pStyle w:val="ListNumber"/>
      </w:pPr>
      <w:r>
        <w:t>STEP1：誰のどんな悩みを解決するかを決める</w:t>
      </w:r>
    </w:p>
    <w:p>
      <w:pPr>
        <w:pStyle w:val="ListNumber"/>
      </w:pPr>
      <w:r>
        <w:t>STEP2：3日間のゴールを「心理変化」で設計する</w:t>
      </w:r>
    </w:p>
    <w:p>
      <w:pPr>
        <w:pStyle w:val="ListNumber"/>
      </w:pPr>
      <w:r>
        <w:t>STEP3：Day1は気づきと共感、Day2は実践と成功体験、Day3は未来提示と提案にする</w:t>
      </w:r>
    </w:p>
    <w:p>
      <w:pPr>
        <w:pStyle w:val="ListNumber"/>
      </w:pPr>
      <w:r>
        <w:t>STEP4：LP・LINE・メール・SNS・プレゼント・ワークを準備する</w:t>
      </w:r>
    </w:p>
    <w:p>
      <w:pPr>
        <w:pStyle w:val="ListNumber"/>
      </w:pPr>
      <w:r>
        <w:t>STEP5：当日は参加率、コメント率、ワーク提出率を見ながら運営する</w:t>
      </w:r>
    </w:p>
    <w:p>
      <w:pPr>
        <w:pStyle w:val="ListNumber"/>
      </w:pPr>
      <w:r>
        <w:t>STEP6：Day3で商品を説明するのではなく、未来への次の一歩として提案する</w:t>
      </w:r>
    </w:p>
    <w:p>
      <w:pPr>
        <w:pStyle w:val="ListNumber"/>
      </w:pPr>
      <w:r>
        <w:t>STEP7：申込後フォローと未申込フォローを分ける</w:t>
      </w:r>
    </w:p>
    <w:p>
      <w:pPr>
        <w:pStyle w:val="ListNumber"/>
      </w:pPr>
      <w:r>
        <w:t>STEP8：KPIを記録し、次回のローンチに改善を反映する</w:t>
      </w:r>
    </w:p>
    <w:p>
      <w:pPr>
        <w:pStyle w:val="Heading1"/>
      </w:pPr>
      <w:r>
        <w:t>絶対に守る原則</w:t>
      </w:r>
    </w:p>
    <w:p>
      <w:pPr>
        <w:pStyle w:val="ListBullet"/>
      </w:pPr>
      <w:r>
        <w:t>初日から売り込まない。Day1は信頼と共感を作る日。</w:t>
      </w:r>
    </w:p>
    <w:p>
      <w:pPr>
        <w:pStyle w:val="ListBullet"/>
      </w:pPr>
      <w:r>
        <w:t>情報量より変化量を重視する。参加者が「少し前に進んだ」と感じることが最重要。</w:t>
      </w:r>
    </w:p>
    <w:p>
      <w:pPr>
        <w:pStyle w:val="ListBullet"/>
      </w:pPr>
      <w:r>
        <w:t>1日1テーマ、1日1ゴールに絞る。詰め込みは離脱を生む。</w:t>
      </w:r>
    </w:p>
    <w:p>
      <w:pPr>
        <w:pStyle w:val="ListBullet"/>
      </w:pPr>
      <w:r>
        <w:t>プレゼントは「参加のきっかけ」ではなく「理想未来に近づく補助輪」として設計する。</w:t>
      </w:r>
    </w:p>
    <w:p>
      <w:pPr>
        <w:pStyle w:val="ListBullet"/>
      </w:pPr>
      <w:r>
        <w:t>クロージングは圧をかけるのではなく、参加者が自分で決められる情報を整理する。</w:t>
      </w:r>
    </w:p>
    <w:p>
      <w:pPr>
        <w:pStyle w:val="ListBullet"/>
      </w:pPr>
      <w:r>
        <w:t>心理設計は倫理的に使う。恐怖訴求・過度な希少性・誇大表現は使わない。</w:t>
      </w:r>
    </w:p>
    <w:p>
      <w:pPr>
        <w:pStyle w:val="Heading1"/>
      </w:pPr>
      <w:r>
        <w:t>チャレンジ成功の定義</w:t>
      </w:r>
    </w:p>
    <w:p>
      <w:pPr>
        <w:pStyle w:val="ListBullet"/>
      </w:pPr>
      <w:r>
        <w:t>参加者が「私の問題はこれだった」と言語化できている。</w:t>
      </w:r>
    </w:p>
    <w:p>
      <w:pPr>
        <w:pStyle w:val="ListBullet"/>
      </w:pPr>
      <w:r>
        <w:t>参加者が「自分にもできそう」と感じている。</w:t>
      </w:r>
    </w:p>
    <w:p>
      <w:pPr>
        <w:pStyle w:val="ListBullet"/>
      </w:pPr>
      <w:r>
        <w:t>参加者が講師・運営・仲間に信頼を持っている。</w:t>
      </w:r>
    </w:p>
    <w:p>
      <w:pPr>
        <w:pStyle w:val="ListBullet"/>
      </w:pPr>
      <w:r>
        <w:t>商品を買う/買わないに関係なく、参加してよかったと感じている。</w:t>
      </w:r>
    </w:p>
    <w:p>
      <w:pPr>
        <w:pStyle w:val="ListBullet"/>
      </w:pPr>
      <w:r>
        <w:t>購入者には次の行動が明確で、未購入者にも信頼が残っている。</w:t>
      </w:r>
    </w:p>
    <w:p>
      <w:pPr>
        <w:pStyle w:val="Heading1"/>
      </w:pPr>
      <w:r>
        <w:t>最短実行チェックリスト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分類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チェック項目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完了</w:t>
            </w:r>
          </w:p>
        </w:tc>
      </w:tr>
      <w:tr>
        <w:tc>
          <w:tcPr>
            <w:tcW w:type="dxa" w:w="3408"/>
            <w:vAlign w:val="top"/>
          </w:tcPr>
          <w:p>
            <w:r>
              <w:t>商品</w:t>
            </w:r>
          </w:p>
        </w:tc>
        <w:tc>
          <w:tcPr>
            <w:tcW w:type="dxa" w:w="3408"/>
            <w:vAlign w:val="top"/>
          </w:tcPr>
          <w:p>
            <w:r>
              <w:t>提供商品・価格・対象者・成果物が決まっている</w:t>
            </w:r>
          </w:p>
        </w:tc>
        <w:tc>
          <w:tcPr>
            <w:tcW w:type="dxa" w:w="3408"/>
            <w:vAlign w:val="top"/>
          </w:tcPr>
          <w:p>
            <w:r>
              <w:t>□</w:t>
            </w:r>
          </w:p>
        </w:tc>
      </w:tr>
      <w:tr>
        <w:tc>
          <w:tcPr>
            <w:tcW w:type="dxa" w:w="3408"/>
            <w:vAlign w:val="top"/>
          </w:tcPr>
          <w:p>
            <w:r>
              <w:t>顧客</w:t>
            </w:r>
          </w:p>
        </w:tc>
        <w:tc>
          <w:tcPr>
            <w:tcW w:type="dxa" w:w="3408"/>
            <w:vAlign w:val="top"/>
          </w:tcPr>
          <w:p>
            <w:r>
              <w:t>顧客の悩み・願望・放置リスクが言語化されている</w:t>
            </w:r>
          </w:p>
        </w:tc>
        <w:tc>
          <w:tcPr>
            <w:tcW w:type="dxa" w:w="3408"/>
            <w:vAlign w:val="top"/>
          </w:tcPr>
          <w:p>
            <w:r>
              <w:t>□</w:t>
            </w:r>
          </w:p>
        </w:tc>
      </w:tr>
      <w:tr>
        <w:tc>
          <w:tcPr>
            <w:tcW w:type="dxa" w:w="3408"/>
            <w:vAlign w:val="top"/>
          </w:tcPr>
          <w:p>
            <w:r>
              <w:t>設計</w:t>
            </w:r>
          </w:p>
        </w:tc>
        <w:tc>
          <w:tcPr>
            <w:tcW w:type="dxa" w:w="3408"/>
            <w:vAlign w:val="top"/>
          </w:tcPr>
          <w:p>
            <w:r>
              <w:t>Day1〜Day3の目的・心理・ワークが決まっている</w:t>
            </w:r>
          </w:p>
        </w:tc>
        <w:tc>
          <w:tcPr>
            <w:tcW w:type="dxa" w:w="3408"/>
            <w:vAlign w:val="top"/>
          </w:tcPr>
          <w:p>
            <w:r>
              <w:t>□</w:t>
            </w:r>
          </w:p>
        </w:tc>
      </w:tr>
      <w:tr>
        <w:tc>
          <w:tcPr>
            <w:tcW w:type="dxa" w:w="3408"/>
            <w:vAlign w:val="top"/>
          </w:tcPr>
          <w:p>
            <w:r>
              <w:t>集客</w:t>
            </w:r>
          </w:p>
        </w:tc>
        <w:tc>
          <w:tcPr>
            <w:tcW w:type="dxa" w:w="3408"/>
            <w:vAlign w:val="top"/>
          </w:tcPr>
          <w:p>
            <w:r>
              <w:t>告知文、申込ページ、LINE登録導線がある</w:t>
            </w:r>
          </w:p>
        </w:tc>
        <w:tc>
          <w:tcPr>
            <w:tcW w:type="dxa" w:w="3408"/>
            <w:vAlign w:val="top"/>
          </w:tcPr>
          <w:p>
            <w:r>
              <w:t>□</w:t>
            </w:r>
          </w:p>
        </w:tc>
      </w:tr>
      <w:tr>
        <w:tc>
          <w:tcPr>
            <w:tcW w:type="dxa" w:w="3408"/>
            <w:vAlign w:val="top"/>
          </w:tcPr>
          <w:p>
            <w:r>
              <w:t>運営</w:t>
            </w:r>
          </w:p>
        </w:tc>
        <w:tc>
          <w:tcPr>
            <w:tcW w:type="dxa" w:w="3408"/>
            <w:vAlign w:val="top"/>
          </w:tcPr>
          <w:p>
            <w:r>
              <w:t>Zoom/配信場所、コメント対応、リマインド担当が決まっている</w:t>
            </w:r>
          </w:p>
        </w:tc>
        <w:tc>
          <w:tcPr>
            <w:tcW w:type="dxa" w:w="3408"/>
            <w:vAlign w:val="top"/>
          </w:tcPr>
          <w:p>
            <w:r>
              <w:t>□</w:t>
            </w:r>
          </w:p>
        </w:tc>
      </w:tr>
      <w:tr>
        <w:tc>
          <w:tcPr>
            <w:tcW w:type="dxa" w:w="3408"/>
            <w:vAlign w:val="top"/>
          </w:tcPr>
          <w:p>
            <w:r>
              <w:t>提案</w:t>
            </w:r>
          </w:p>
        </w:tc>
        <w:tc>
          <w:tcPr>
            <w:tcW w:type="dxa" w:w="3408"/>
            <w:vAlign w:val="top"/>
          </w:tcPr>
          <w:p>
            <w:r>
              <w:t>Day3の提案資料、価格、特典、申込導線、FAQがある</w:t>
            </w:r>
          </w:p>
        </w:tc>
        <w:tc>
          <w:tcPr>
            <w:tcW w:type="dxa" w:w="3408"/>
            <w:vAlign w:val="top"/>
          </w:tcPr>
          <w:p>
            <w:r>
              <w:t>□</w:t>
            </w:r>
          </w:p>
        </w:tc>
      </w:tr>
      <w:tr>
        <w:tc>
          <w:tcPr>
            <w:tcW w:type="dxa" w:w="3408"/>
            <w:vAlign w:val="top"/>
          </w:tcPr>
          <w:p>
            <w:r>
              <w:t>改善</w:t>
            </w:r>
          </w:p>
        </w:tc>
        <w:tc>
          <w:tcPr>
            <w:tcW w:type="dxa" w:w="3408"/>
            <w:vAlign w:val="top"/>
          </w:tcPr>
          <w:p>
            <w:r>
              <w:t>KPI記録表と振り返り時間が確保されている</w:t>
            </w:r>
          </w:p>
        </w:tc>
        <w:tc>
          <w:tcPr>
            <w:tcW w:type="dxa" w:w="3408"/>
            <w:vAlign w:val="top"/>
          </w:tcPr>
          <w:p>
            <w:r>
              <w:t>□</w:t>
            </w:r>
          </w:p>
        </w:tc>
      </w:tr>
    </w:tbl>
    <w:p/>
    <w:p>
      <w:pPr>
        <w:pStyle w:val="Heading1"/>
      </w:pPr>
      <w:r>
        <w:t>参考文献・根拠ID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根拠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出典</w:t>
            </w:r>
          </w:p>
        </w:tc>
      </w:tr>
      <w:tr>
        <w:tc>
          <w:tcPr>
            <w:tcW w:type="dxa" w:w="2556"/>
            <w:vAlign w:val="top"/>
          </w:tcPr>
          <w:p>
            <w:r>
              <w:t>E01</w:t>
            </w:r>
          </w:p>
        </w:tc>
        <w:tc>
          <w:tcPr>
            <w:tcW w:type="dxa" w:w="2556"/>
            <w:vAlign w:val="top"/>
          </w:tcPr>
          <w:p>
            <w:r>
              <w:t>Product Launch Formula / PLF</w:t>
            </w:r>
          </w:p>
        </w:tc>
        <w:tc>
          <w:tcPr>
            <w:tcW w:type="dxa" w:w="2556"/>
            <w:vAlign w:val="top"/>
          </w:tcPr>
          <w:p>
            <w:r>
              <w:t>Jeff Walker公式サイト。PLFは商品・サービスを段階的にローンチするためのステップバイステップのプロセスとして説明され、Pre-Prelaunch、Prelaunch、Open Cartなどの流れが示されている。</w:t>
            </w:r>
          </w:p>
        </w:tc>
        <w:tc>
          <w:tcPr>
            <w:tcW w:type="dxa" w:w="2556"/>
            <w:vAlign w:val="top"/>
          </w:tcPr>
          <w:p>
            <w:r>
              <w:t>https://jeffwalker.com/programs/product-launch-formula/ ; https://jeffwalker.com/product-launch-process/</w:t>
            </w:r>
          </w:p>
        </w:tc>
      </w:tr>
      <w:tr>
        <w:tc>
          <w:tcPr>
            <w:tcW w:type="dxa" w:w="2556"/>
            <w:vAlign w:val="top"/>
          </w:tcPr>
          <w:p>
            <w:r>
              <w:t>E02</w:t>
            </w:r>
          </w:p>
        </w:tc>
        <w:tc>
          <w:tcPr>
            <w:tcW w:type="dxa" w:w="2556"/>
            <w:vAlign w:val="top"/>
          </w:tcPr>
          <w:p>
            <w:r>
              <w:t>自己決定理論 SDT</w:t>
            </w:r>
          </w:p>
        </w:tc>
        <w:tc>
          <w:tcPr>
            <w:tcW w:type="dxa" w:w="2556"/>
            <w:vAlign w:val="top"/>
          </w:tcPr>
          <w:p>
            <w:r>
              <w:t>Ryan &amp; Deci (2000)。人の内発的動機づけには、自律性・有能感・関係性の充足が重要である。3日間チャレンジでは「自分で選べる」「できた」「仲間がいる」を設計する。</w:t>
            </w:r>
          </w:p>
        </w:tc>
        <w:tc>
          <w:tcPr>
            <w:tcW w:type="dxa" w:w="2556"/>
            <w:vAlign w:val="top"/>
          </w:tcPr>
          <w:p>
            <w:r>
              <w:t>Ryan, R. M., &amp; Deci, E. L. (2000). American Psychologist, 55(1), 68-78. DOI: 10.1037/0003-066X.55.1.68</w:t>
            </w:r>
          </w:p>
        </w:tc>
      </w:tr>
      <w:tr>
        <w:tc>
          <w:tcPr>
            <w:tcW w:type="dxa" w:w="2556"/>
            <w:vAlign w:val="top"/>
          </w:tcPr>
          <w:p>
            <w:r>
              <w:t>E03</w:t>
            </w:r>
          </w:p>
        </w:tc>
        <w:tc>
          <w:tcPr>
            <w:tcW w:type="dxa" w:w="2556"/>
            <w:vAlign w:val="top"/>
          </w:tcPr>
          <w:p>
            <w:r>
              <w:t>目標設定理論</w:t>
            </w:r>
          </w:p>
        </w:tc>
        <w:tc>
          <w:tcPr>
            <w:tcW w:type="dxa" w:w="2556"/>
            <w:vAlign w:val="top"/>
          </w:tcPr>
          <w:p>
            <w:r>
              <w:t>Locke &amp; Latham (2006)。具体的で挑戦的な目標、フィードバック、コミットメントがパフォーマンスに影響する。チャレンジでは毎日の到達目標を明確にする。</w:t>
            </w:r>
          </w:p>
        </w:tc>
        <w:tc>
          <w:tcPr>
            <w:tcW w:type="dxa" w:w="2556"/>
            <w:vAlign w:val="top"/>
          </w:tcPr>
          <w:p>
            <w:r>
              <w:t>Locke, E. A., &amp; Latham, G. P. (2006). Current Directions in Psychological Science, 15(5), 265-268. DOI: 10.1111/j.1467-8721.2006.00449.x</w:t>
            </w:r>
          </w:p>
        </w:tc>
      </w:tr>
      <w:tr>
        <w:tc>
          <w:tcPr>
            <w:tcW w:type="dxa" w:w="2556"/>
            <w:vAlign w:val="top"/>
          </w:tcPr>
          <w:p>
            <w:r>
              <w:t>E04</w:t>
            </w:r>
          </w:p>
        </w:tc>
        <w:tc>
          <w:tcPr>
            <w:tcW w:type="dxa" w:w="2556"/>
            <w:vAlign w:val="top"/>
          </w:tcPr>
          <w:p>
            <w:r>
              <w:t>自己効力感</w:t>
            </w:r>
          </w:p>
        </w:tc>
        <w:tc>
          <w:tcPr>
            <w:tcW w:type="dxa" w:w="2556"/>
            <w:vAlign w:val="top"/>
          </w:tcPr>
          <w:p>
            <w:r>
              <w:t>Bandura (1977)。人は「自分にもできる」と感じるほど行動しやすくなる。小さな成功体験、他者事例、励まし、感情状態の安定が重要。</w:t>
            </w:r>
          </w:p>
        </w:tc>
        <w:tc>
          <w:tcPr>
            <w:tcW w:type="dxa" w:w="2556"/>
            <w:vAlign w:val="top"/>
          </w:tcPr>
          <w:p>
            <w:r>
              <w:t>Bandura, A. (1977). Psychological Review, 84(2), 191-215. DOI: 10.1037/0033-295X.84.2.191</w:t>
            </w:r>
          </w:p>
        </w:tc>
      </w:tr>
      <w:tr>
        <w:tc>
          <w:tcPr>
            <w:tcW w:type="dxa" w:w="2556"/>
            <w:vAlign w:val="top"/>
          </w:tcPr>
          <w:p>
            <w:r>
              <w:t>E05</w:t>
            </w:r>
          </w:p>
        </w:tc>
        <w:tc>
          <w:tcPr>
            <w:tcW w:type="dxa" w:w="2556"/>
            <w:vAlign w:val="top"/>
          </w:tcPr>
          <w:p>
            <w:r>
              <w:t>認知負荷理論</w:t>
            </w:r>
          </w:p>
        </w:tc>
        <w:tc>
          <w:tcPr>
            <w:tcW w:type="dxa" w:w="2556"/>
            <w:vAlign w:val="top"/>
          </w:tcPr>
          <w:p>
            <w:r>
              <w:t>Sweller/Paas/de Jong系の研究。作業記憶には限界があるため、情報を詰め込みすぎると学習が阻害される。1日1テーマ、1スライド1メッセージにする。</w:t>
            </w:r>
          </w:p>
        </w:tc>
        <w:tc>
          <w:tcPr>
            <w:tcW w:type="dxa" w:w="2556"/>
            <w:vAlign w:val="top"/>
          </w:tcPr>
          <w:p>
            <w:r>
              <w:t>de Jong, T. (2010). Instructional Science, 38, 105-134. DOI: 10.1007/s11251-009-9110-0 ; Paas, van Gog &amp; Sweller (2010). DOI: 10.1007/s10648-010-9133-8</w:t>
            </w:r>
          </w:p>
        </w:tc>
      </w:tr>
      <w:tr>
        <w:tc>
          <w:tcPr>
            <w:tcW w:type="dxa" w:w="2556"/>
            <w:vAlign w:val="top"/>
          </w:tcPr>
          <w:p>
            <w:r>
              <w:t>E06</w:t>
            </w:r>
          </w:p>
        </w:tc>
        <w:tc>
          <w:tcPr>
            <w:tcW w:type="dxa" w:w="2556"/>
            <w:vAlign w:val="top"/>
          </w:tcPr>
          <w:p>
            <w:r>
              <w:t>検索練習 / テスト効果</w:t>
            </w:r>
          </w:p>
        </w:tc>
        <w:tc>
          <w:tcPr>
            <w:tcW w:type="dxa" w:w="2556"/>
            <w:vAlign w:val="top"/>
          </w:tcPr>
          <w:p>
            <w:r>
              <w:t>Roediger &amp; Karpicke (2006)。思い出す・答える行為は長期記憶を強化する。チャレンジでは講義だけでなくワークと発表を入れる。</w:t>
            </w:r>
          </w:p>
        </w:tc>
        <w:tc>
          <w:tcPr>
            <w:tcW w:type="dxa" w:w="2556"/>
            <w:vAlign w:val="top"/>
          </w:tcPr>
          <w:p>
            <w:r>
              <w:t>Roediger, H. L., &amp; Karpicke, J. D. (2006). Psychological Science, 17(3), 249-255. DOI: 10.1111/j.1467-9280.2006.01693.x</w:t>
            </w:r>
          </w:p>
        </w:tc>
      </w:tr>
      <w:tr>
        <w:tc>
          <w:tcPr>
            <w:tcW w:type="dxa" w:w="2556"/>
            <w:vAlign w:val="top"/>
          </w:tcPr>
          <w:p>
            <w:r>
              <w:t>E07</w:t>
            </w:r>
          </w:p>
        </w:tc>
        <w:tc>
          <w:tcPr>
            <w:tcW w:type="dxa" w:w="2556"/>
            <w:vAlign w:val="top"/>
          </w:tcPr>
          <w:p>
            <w:r>
              <w:t>マルチメディア学習理論</w:t>
            </w:r>
          </w:p>
        </w:tc>
        <w:tc>
          <w:tcPr>
            <w:tcW w:type="dxa" w:w="2556"/>
            <w:vAlign w:val="top"/>
          </w:tcPr>
          <w:p>
            <w:r>
              <w:t>MayerのCognitive Theory of Multimedia Learning。人は言語・視覚の二経路を使うが容量には限界があり、能動的処理が重要。スライドは図解・短文・ワーク中心にする。</w:t>
            </w:r>
          </w:p>
        </w:tc>
        <w:tc>
          <w:tcPr>
            <w:tcW w:type="dxa" w:w="2556"/>
            <w:vAlign w:val="top"/>
          </w:tcPr>
          <w:p>
            <w:r>
              <w:t>Mayer, R. E. (2024). Educational Psychology Review, 36, 8. DOI: 10.1007/s10648-023-09842-1</w:t>
            </w:r>
          </w:p>
        </w:tc>
      </w:tr>
      <w:tr>
        <w:tc>
          <w:tcPr>
            <w:tcW w:type="dxa" w:w="2556"/>
            <w:vAlign w:val="top"/>
          </w:tcPr>
          <w:p>
            <w:r>
              <w:t>E08</w:t>
            </w:r>
          </w:p>
        </w:tc>
        <w:tc>
          <w:tcPr>
            <w:tcW w:type="dxa" w:w="2556"/>
            <w:vAlign w:val="top"/>
          </w:tcPr>
          <w:p>
            <w:r>
              <w:t>説得の原理</w:t>
            </w:r>
          </w:p>
        </w:tc>
        <w:tc>
          <w:tcPr>
            <w:tcW w:type="dxa" w:w="2556"/>
            <w:vAlign w:val="top"/>
          </w:tcPr>
          <w:p>
            <w:r>
              <w:t>Cialdiniの影響力の原理。返報性、希少性、権威、コミットメントと一貫性、好意、社会的証明、統一性。倫理的に使うことが前提。</w:t>
            </w:r>
          </w:p>
        </w:tc>
        <w:tc>
          <w:tcPr>
            <w:tcW w:type="dxa" w:w="2556"/>
            <w:vAlign w:val="top"/>
          </w:tcPr>
          <w:p>
            <w:r>
              <w:t>Influence at Work公式: https://www.influenceatwork.com/6-principles-of-persuasion/</w:t>
            </w:r>
          </w:p>
        </w:tc>
      </w:tr>
      <w:tr>
        <w:tc>
          <w:tcPr>
            <w:tcW w:type="dxa" w:w="2556"/>
            <w:vAlign w:val="top"/>
          </w:tcPr>
          <w:p>
            <w:r>
              <w:t>E09</w:t>
            </w:r>
          </w:p>
        </w:tc>
        <w:tc>
          <w:tcPr>
            <w:tcW w:type="dxa" w:w="2556"/>
            <w:vAlign w:val="top"/>
          </w:tcPr>
          <w:p>
            <w:r>
              <w:t>精緻化見込みモデル ELM</w:t>
            </w:r>
          </w:p>
        </w:tc>
        <w:tc>
          <w:tcPr>
            <w:tcW w:type="dxa" w:w="2556"/>
            <w:vAlign w:val="top"/>
          </w:tcPr>
          <w:p>
            <w:r>
              <w:t>Petty &amp; Cacioppo (1986)。説得には、論点を深く処理する中心ルートと、周辺手がかりに依存する周辺ルートがある。高単価商品では中心ルートを重視する。</w:t>
            </w:r>
          </w:p>
        </w:tc>
        <w:tc>
          <w:tcPr>
            <w:tcW w:type="dxa" w:w="2556"/>
            <w:vAlign w:val="top"/>
          </w:tcPr>
          <w:p>
            <w:r>
              <w:t>Petty, R. E., &amp; Cacioppo, J. T. (1986). Advances in Experimental Social Psychology, 19, 123-205. DOI: 10.1016/S0065-2601(08)60214-2</w:t>
            </w:r>
          </w:p>
        </w:tc>
      </w:tr>
      <w:tr>
        <w:tc>
          <w:tcPr>
            <w:tcW w:type="dxa" w:w="2556"/>
            <w:vAlign w:val="top"/>
          </w:tcPr>
          <w:p>
            <w:r>
              <w:t>E10</w:t>
            </w:r>
          </w:p>
        </w:tc>
        <w:tc>
          <w:tcPr>
            <w:tcW w:type="dxa" w:w="2556"/>
            <w:vAlign w:val="top"/>
          </w:tcPr>
          <w:p>
            <w:r>
              <w:t>プロスペクト理論 / 損失回避</w:t>
            </w:r>
          </w:p>
        </w:tc>
        <w:tc>
          <w:tcPr>
            <w:tcW w:type="dxa" w:w="2556"/>
            <w:vAlign w:val="top"/>
          </w:tcPr>
          <w:p>
            <w:r>
              <w:t>Kahneman &amp; Tversky (1979)。人は同等の利得より損失を強く感じやすい。煽りではなく「今のまま放置するリスク」を丁寧に言語化する。</w:t>
            </w:r>
          </w:p>
        </w:tc>
        <w:tc>
          <w:tcPr>
            <w:tcW w:type="dxa" w:w="2556"/>
            <w:vAlign w:val="top"/>
          </w:tcPr>
          <w:p>
            <w:r>
              <w:t>Kahneman, D., &amp; Tversky, A. (1979). Econometrica, 47(2), 263-291.</w:t>
            </w:r>
          </w:p>
        </w:tc>
      </w:tr>
      <w:tr>
        <w:tc>
          <w:tcPr>
            <w:tcW w:type="dxa" w:w="2556"/>
            <w:vAlign w:val="top"/>
          </w:tcPr>
          <w:p>
            <w:r>
              <w:t>E11</w:t>
            </w:r>
          </w:p>
        </w:tc>
        <w:tc>
          <w:tcPr>
            <w:tcW w:type="dxa" w:w="2556"/>
            <w:vAlign w:val="top"/>
          </w:tcPr>
          <w:p>
            <w:r>
              <w:t>Fogg Behavior Model</w:t>
            </w:r>
          </w:p>
        </w:tc>
        <w:tc>
          <w:tcPr>
            <w:tcW w:type="dxa" w:w="2556"/>
            <w:vAlign w:val="top"/>
          </w:tcPr>
          <w:p>
            <w:r>
              <w:t>BJ Fogg。行動はMotivation, Ability, Promptが同時にそろうと起こりやすい。チャレンジでは、やる気を上げるよりも行動を小さくし、促しを置く。</w:t>
            </w:r>
          </w:p>
        </w:tc>
        <w:tc>
          <w:tcPr>
            <w:tcW w:type="dxa" w:w="2556"/>
            <w:vAlign w:val="top"/>
          </w:tcPr>
          <w:p>
            <w:r>
              <w:t>The Behavior Institute: https://besci.org/models/fogg-behavior-model</w:t>
            </w:r>
          </w:p>
        </w:tc>
      </w:tr>
      <w:tr>
        <w:tc>
          <w:tcPr>
            <w:tcW w:type="dxa" w:w="2556"/>
            <w:vAlign w:val="top"/>
          </w:tcPr>
          <w:p>
            <w:r>
              <w:t>E12</w:t>
            </w:r>
          </w:p>
        </w:tc>
        <w:tc>
          <w:tcPr>
            <w:tcW w:type="dxa" w:w="2556"/>
            <w:vAlign w:val="top"/>
          </w:tcPr>
          <w:p>
            <w:r>
              <w:t>Value Proposition Canvas</w:t>
            </w:r>
          </w:p>
        </w:tc>
        <w:tc>
          <w:tcPr>
            <w:tcW w:type="dxa" w:w="2556"/>
            <w:vAlign w:val="top"/>
          </w:tcPr>
          <w:p>
            <w:r>
              <w:t>Strategyzer公式。顧客のJobs, Pains, Gainsと提供価値のPain Relievers, Gain Creatorsを対応させる。チャレンジのテーマ設計に使う。</w:t>
            </w:r>
          </w:p>
        </w:tc>
        <w:tc>
          <w:tcPr>
            <w:tcW w:type="dxa" w:w="2556"/>
            <w:vAlign w:val="top"/>
          </w:tcPr>
          <w:p>
            <w:r>
              <w:t>Strategyzer公式: https://www.strategyzer.com/library/the-value-proposition-canvas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C58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