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8"/>
        </w:rPr>
        <w:t>参考文献・根拠マップ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24"/>
        </w:rPr>
        <w:t>Web / 研究論文 / 心理学 / マーケティング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読み方</w:t>
            </w:r>
          </w:p>
          <w:p>
            <w:pPr>
              <w:spacing w:after="80"/>
            </w:pPr>
            <w:r>
              <w:t>この資料は「どの理論を、チャレンジローンチのどこに使うか」を対応させた根拠マップです。学術的に実証された知見と、実務フレームワークは分けて扱います。</w:t>
            </w:r>
          </w:p>
        </w:tc>
      </w:tr>
    </w:tbl>
    <w:p>
      <w:pPr>
        <w:pStyle w:val="Heading1"/>
      </w:pPr>
      <w:r>
        <w:t>根拠の分類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例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扱い方</w:t>
            </w:r>
          </w:p>
        </w:tc>
      </w:tr>
      <w:tr>
        <w:tc>
          <w:tcPr>
            <w:tcW w:type="dxa" w:w="3408"/>
            <w:vAlign w:val="top"/>
          </w:tcPr>
          <w:p>
            <w:r>
              <w:t>研究・査読論文</w:t>
            </w:r>
          </w:p>
        </w:tc>
        <w:tc>
          <w:tcPr>
            <w:tcW w:type="dxa" w:w="3408"/>
            <w:vAlign w:val="top"/>
          </w:tcPr>
          <w:p>
            <w:r>
              <w:t>SDT、目標設定理論、自己効力感、認知負荷、検索練習、ELM</w:t>
            </w:r>
          </w:p>
        </w:tc>
        <w:tc>
          <w:tcPr>
            <w:tcW w:type="dxa" w:w="3408"/>
            <w:vAlign w:val="top"/>
          </w:tcPr>
          <w:p>
            <w:r>
              <w:t>「比較的根拠が強い設計原則」として扱う</w:t>
            </w:r>
          </w:p>
        </w:tc>
      </w:tr>
      <w:tr>
        <w:tc>
          <w:tcPr>
            <w:tcW w:type="dxa" w:w="3408"/>
            <w:vAlign w:val="top"/>
          </w:tcPr>
          <w:p>
            <w:r>
              <w:t>実務フレームワーク</w:t>
            </w:r>
          </w:p>
        </w:tc>
        <w:tc>
          <w:tcPr>
            <w:tcW w:type="dxa" w:w="3408"/>
            <w:vAlign w:val="top"/>
          </w:tcPr>
          <w:p>
            <w:r>
              <w:t>PLF、Value Proposition Canvas、AIDA、コピーライティング型</w:t>
            </w:r>
          </w:p>
        </w:tc>
        <w:tc>
          <w:tcPr>
            <w:tcW w:type="dxa" w:w="3408"/>
            <w:vAlign w:val="top"/>
          </w:tcPr>
          <w:p>
            <w:r>
              <w:t>「実務上有効な設計型」として扱う</w:t>
            </w:r>
          </w:p>
        </w:tc>
      </w:tr>
      <w:tr>
        <w:tc>
          <w:tcPr>
            <w:tcW w:type="dxa" w:w="3408"/>
            <w:vAlign w:val="top"/>
          </w:tcPr>
          <w:p>
            <w:r>
              <w:t>応用テンプレート</w:t>
            </w:r>
          </w:p>
        </w:tc>
        <w:tc>
          <w:tcPr>
            <w:tcW w:type="dxa" w:w="3408"/>
            <w:vAlign w:val="top"/>
          </w:tcPr>
          <w:p>
            <w:r>
              <w:t>Day1〜Day3台本、LINE、コメント返信、KPI</w:t>
            </w:r>
          </w:p>
        </w:tc>
        <w:tc>
          <w:tcPr>
            <w:tcW w:type="dxa" w:w="3408"/>
            <w:vAlign w:val="top"/>
          </w:tcPr>
          <w:p>
            <w:r>
              <w:t>上記根拠を3日間チャレンジ向けに変換したもの</w:t>
            </w:r>
          </w:p>
        </w:tc>
      </w:tr>
    </w:tbl>
    <w:p/>
    <w:p>
      <w:pPr>
        <w:pStyle w:val="Heading1"/>
      </w:pPr>
      <w:r>
        <w:t>根拠ID一覧</w:t>
      </w:r>
    </w:p>
    <w:p>
      <w:pPr>
        <w:pStyle w:val="Heading1"/>
      </w:pPr>
      <w:r>
        <w:t>参考文献・根拠ID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根拠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出典</w:t>
            </w:r>
          </w:p>
        </w:tc>
      </w:tr>
      <w:tr>
        <w:tc>
          <w:tcPr>
            <w:tcW w:type="dxa" w:w="2556"/>
            <w:vAlign w:val="top"/>
          </w:tcPr>
          <w:p>
            <w:r>
              <w:t>E01</w:t>
            </w:r>
          </w:p>
        </w:tc>
        <w:tc>
          <w:tcPr>
            <w:tcW w:type="dxa" w:w="2556"/>
            <w:vAlign w:val="top"/>
          </w:tcPr>
          <w:p>
            <w:r>
              <w:t>Product Launch Formula / PLF</w:t>
            </w:r>
          </w:p>
        </w:tc>
        <w:tc>
          <w:tcPr>
            <w:tcW w:type="dxa" w:w="2556"/>
            <w:vAlign w:val="top"/>
          </w:tcPr>
          <w:p>
            <w:r>
              <w:t>Jeff Walker公式サイト。PLFは商品・サービスを段階的にローンチするためのステップバイステップのプロセスとして説明され、Pre-Prelaunch、Prelaunch、Open Cartなどの流れが示されている。</w:t>
            </w:r>
          </w:p>
        </w:tc>
        <w:tc>
          <w:tcPr>
            <w:tcW w:type="dxa" w:w="2556"/>
            <w:vAlign w:val="top"/>
          </w:tcPr>
          <w:p>
            <w:r>
              <w:t>https://jeffwalker.com/programs/product-launch-formula/ ; https://jeffwalker.com/product-launch-process/</w:t>
            </w:r>
          </w:p>
        </w:tc>
      </w:tr>
      <w:tr>
        <w:tc>
          <w:tcPr>
            <w:tcW w:type="dxa" w:w="2556"/>
            <w:vAlign w:val="top"/>
          </w:tcPr>
          <w:p>
            <w:r>
              <w:t>E02</w:t>
            </w:r>
          </w:p>
        </w:tc>
        <w:tc>
          <w:tcPr>
            <w:tcW w:type="dxa" w:w="2556"/>
            <w:vAlign w:val="top"/>
          </w:tcPr>
          <w:p>
            <w:r>
              <w:t>自己決定理論 SDT</w:t>
            </w:r>
          </w:p>
        </w:tc>
        <w:tc>
          <w:tcPr>
            <w:tcW w:type="dxa" w:w="2556"/>
            <w:vAlign w:val="top"/>
          </w:tcPr>
          <w:p>
            <w:r>
              <w:t>Ryan &amp; Deci (2000)。人の内発的動機づけには、自律性・有能感・関係性の充足が重要である。3日間チャレンジでは「自分で選べる」「できた」「仲間がいる」を設計する。</w:t>
            </w:r>
          </w:p>
        </w:tc>
        <w:tc>
          <w:tcPr>
            <w:tcW w:type="dxa" w:w="2556"/>
            <w:vAlign w:val="top"/>
          </w:tcPr>
          <w:p>
            <w:r>
              <w:t>Ryan, R. M., &amp; Deci, E. L. (2000). American Psychologist, 55(1), 68-78. DOI: 10.1037/0003-066X.55.1.68</w:t>
            </w:r>
          </w:p>
        </w:tc>
      </w:tr>
      <w:tr>
        <w:tc>
          <w:tcPr>
            <w:tcW w:type="dxa" w:w="2556"/>
            <w:vAlign w:val="top"/>
          </w:tcPr>
          <w:p>
            <w:r>
              <w:t>E03</w:t>
            </w:r>
          </w:p>
        </w:tc>
        <w:tc>
          <w:tcPr>
            <w:tcW w:type="dxa" w:w="2556"/>
            <w:vAlign w:val="top"/>
          </w:tcPr>
          <w:p>
            <w:r>
              <w:t>目標設定理論</w:t>
            </w:r>
          </w:p>
        </w:tc>
        <w:tc>
          <w:tcPr>
            <w:tcW w:type="dxa" w:w="2556"/>
            <w:vAlign w:val="top"/>
          </w:tcPr>
          <w:p>
            <w:r>
              <w:t>Locke &amp; Latham (2006)。具体的で挑戦的な目標、フィードバック、コミットメントがパフォーマンスに影響する。チャレンジでは毎日の到達目標を明確にする。</w:t>
            </w:r>
          </w:p>
        </w:tc>
        <w:tc>
          <w:tcPr>
            <w:tcW w:type="dxa" w:w="2556"/>
            <w:vAlign w:val="top"/>
          </w:tcPr>
          <w:p>
            <w:r>
              <w:t>Locke, E. A., &amp; Latham, G. P. (2006). Current Directions in Psychological Science, 15(5), 265-268. DOI: 10.1111/j.1467-8721.2006.00449.x</w:t>
            </w:r>
          </w:p>
        </w:tc>
      </w:tr>
      <w:tr>
        <w:tc>
          <w:tcPr>
            <w:tcW w:type="dxa" w:w="2556"/>
            <w:vAlign w:val="top"/>
          </w:tcPr>
          <w:p>
            <w:r>
              <w:t>E04</w:t>
            </w:r>
          </w:p>
        </w:tc>
        <w:tc>
          <w:tcPr>
            <w:tcW w:type="dxa" w:w="2556"/>
            <w:vAlign w:val="top"/>
          </w:tcPr>
          <w:p>
            <w:r>
              <w:t>自己効力感</w:t>
            </w:r>
          </w:p>
        </w:tc>
        <w:tc>
          <w:tcPr>
            <w:tcW w:type="dxa" w:w="2556"/>
            <w:vAlign w:val="top"/>
          </w:tcPr>
          <w:p>
            <w:r>
              <w:t>Bandura (1977)。人は「自分にもできる」と感じるほど行動しやすくなる。小さな成功体験、他者事例、励まし、感情状態の安定が重要。</w:t>
            </w:r>
          </w:p>
        </w:tc>
        <w:tc>
          <w:tcPr>
            <w:tcW w:type="dxa" w:w="2556"/>
            <w:vAlign w:val="top"/>
          </w:tcPr>
          <w:p>
            <w:r>
              <w:t>Bandura, A. (1977). Psychological Review, 84(2), 191-215. DOI: 10.1037/0033-295X.84.2.191</w:t>
            </w:r>
          </w:p>
        </w:tc>
      </w:tr>
      <w:tr>
        <w:tc>
          <w:tcPr>
            <w:tcW w:type="dxa" w:w="2556"/>
            <w:vAlign w:val="top"/>
          </w:tcPr>
          <w:p>
            <w:r>
              <w:t>E05</w:t>
            </w:r>
          </w:p>
        </w:tc>
        <w:tc>
          <w:tcPr>
            <w:tcW w:type="dxa" w:w="2556"/>
            <w:vAlign w:val="top"/>
          </w:tcPr>
          <w:p>
            <w:r>
              <w:t>認知負荷理論</w:t>
            </w:r>
          </w:p>
        </w:tc>
        <w:tc>
          <w:tcPr>
            <w:tcW w:type="dxa" w:w="2556"/>
            <w:vAlign w:val="top"/>
          </w:tcPr>
          <w:p>
            <w:r>
              <w:t>Sweller/Paas/de Jong系の研究。作業記憶には限界があるため、情報を詰め込みすぎると学習が阻害される。1日1テーマ、1スライド1メッセージにする。</w:t>
            </w:r>
          </w:p>
        </w:tc>
        <w:tc>
          <w:tcPr>
            <w:tcW w:type="dxa" w:w="2556"/>
            <w:vAlign w:val="top"/>
          </w:tcPr>
          <w:p>
            <w:r>
              <w:t>de Jong, T. (2010). Instructional Science, 38, 105-134. DOI: 10.1007/s11251-009-9110-0 ; Paas, van Gog &amp; Sweller (2010). DOI: 10.1007/s10648-010-9133-8</w:t>
            </w:r>
          </w:p>
        </w:tc>
      </w:tr>
      <w:tr>
        <w:tc>
          <w:tcPr>
            <w:tcW w:type="dxa" w:w="2556"/>
            <w:vAlign w:val="top"/>
          </w:tcPr>
          <w:p>
            <w:r>
              <w:t>E06</w:t>
            </w:r>
          </w:p>
        </w:tc>
        <w:tc>
          <w:tcPr>
            <w:tcW w:type="dxa" w:w="2556"/>
            <w:vAlign w:val="top"/>
          </w:tcPr>
          <w:p>
            <w:r>
              <w:t>検索練習 / テスト効果</w:t>
            </w:r>
          </w:p>
        </w:tc>
        <w:tc>
          <w:tcPr>
            <w:tcW w:type="dxa" w:w="2556"/>
            <w:vAlign w:val="top"/>
          </w:tcPr>
          <w:p>
            <w:r>
              <w:t>Roediger &amp; Karpicke (2006)。思い出す・答える行為は長期記憶を強化する。チャレンジでは講義だけでなくワークと発表を入れる。</w:t>
            </w:r>
          </w:p>
        </w:tc>
        <w:tc>
          <w:tcPr>
            <w:tcW w:type="dxa" w:w="2556"/>
            <w:vAlign w:val="top"/>
          </w:tcPr>
          <w:p>
            <w:r>
              <w:t>Roediger, H. L., &amp; Karpicke, J. D. (2006). Psychological Science, 17(3), 249-255. DOI: 10.1111/j.1467-9280.2006.01693.x</w:t>
            </w:r>
          </w:p>
        </w:tc>
      </w:tr>
      <w:tr>
        <w:tc>
          <w:tcPr>
            <w:tcW w:type="dxa" w:w="2556"/>
            <w:vAlign w:val="top"/>
          </w:tcPr>
          <w:p>
            <w:r>
              <w:t>E07</w:t>
            </w:r>
          </w:p>
        </w:tc>
        <w:tc>
          <w:tcPr>
            <w:tcW w:type="dxa" w:w="2556"/>
            <w:vAlign w:val="top"/>
          </w:tcPr>
          <w:p>
            <w:r>
              <w:t>マルチメディア学習理論</w:t>
            </w:r>
          </w:p>
        </w:tc>
        <w:tc>
          <w:tcPr>
            <w:tcW w:type="dxa" w:w="2556"/>
            <w:vAlign w:val="top"/>
          </w:tcPr>
          <w:p>
            <w:r>
              <w:t>MayerのCognitive Theory of Multimedia Learning。人は言語・視覚の二経路を使うが容量には限界があり、能動的処理が重要。スライドは図解・短文・ワーク中心にする。</w:t>
            </w:r>
          </w:p>
        </w:tc>
        <w:tc>
          <w:tcPr>
            <w:tcW w:type="dxa" w:w="2556"/>
            <w:vAlign w:val="top"/>
          </w:tcPr>
          <w:p>
            <w:r>
              <w:t>Mayer, R. E. (2024). Educational Psychology Review, 36, 8. DOI: 10.1007/s10648-023-09842-1</w:t>
            </w:r>
          </w:p>
        </w:tc>
      </w:tr>
      <w:tr>
        <w:tc>
          <w:tcPr>
            <w:tcW w:type="dxa" w:w="2556"/>
            <w:vAlign w:val="top"/>
          </w:tcPr>
          <w:p>
            <w:r>
              <w:t>E08</w:t>
            </w:r>
          </w:p>
        </w:tc>
        <w:tc>
          <w:tcPr>
            <w:tcW w:type="dxa" w:w="2556"/>
            <w:vAlign w:val="top"/>
          </w:tcPr>
          <w:p>
            <w:r>
              <w:t>説得の原理</w:t>
            </w:r>
          </w:p>
        </w:tc>
        <w:tc>
          <w:tcPr>
            <w:tcW w:type="dxa" w:w="2556"/>
            <w:vAlign w:val="top"/>
          </w:tcPr>
          <w:p>
            <w:r>
              <w:t>Cialdiniの影響力の原理。返報性、希少性、権威、コミットメントと一貫性、好意、社会的証明、統一性。倫理的に使うことが前提。</w:t>
            </w:r>
          </w:p>
        </w:tc>
        <w:tc>
          <w:tcPr>
            <w:tcW w:type="dxa" w:w="2556"/>
            <w:vAlign w:val="top"/>
          </w:tcPr>
          <w:p>
            <w:r>
              <w:t>Influence at Work公式: https://www.influenceatwork.com/6-principles-of-persuasion/</w:t>
            </w:r>
          </w:p>
        </w:tc>
      </w:tr>
      <w:tr>
        <w:tc>
          <w:tcPr>
            <w:tcW w:type="dxa" w:w="2556"/>
            <w:vAlign w:val="top"/>
          </w:tcPr>
          <w:p>
            <w:r>
              <w:t>E09</w:t>
            </w:r>
          </w:p>
        </w:tc>
        <w:tc>
          <w:tcPr>
            <w:tcW w:type="dxa" w:w="2556"/>
            <w:vAlign w:val="top"/>
          </w:tcPr>
          <w:p>
            <w:r>
              <w:t>精緻化見込みモデル ELM</w:t>
            </w:r>
          </w:p>
        </w:tc>
        <w:tc>
          <w:tcPr>
            <w:tcW w:type="dxa" w:w="2556"/>
            <w:vAlign w:val="top"/>
          </w:tcPr>
          <w:p>
            <w:r>
              <w:t>Petty &amp; Cacioppo (1986)。説得には、論点を深く処理する中心ルートと、周辺手がかりに依存する周辺ルートがある。高単価商品では中心ルートを重視する。</w:t>
            </w:r>
          </w:p>
        </w:tc>
        <w:tc>
          <w:tcPr>
            <w:tcW w:type="dxa" w:w="2556"/>
            <w:vAlign w:val="top"/>
          </w:tcPr>
          <w:p>
            <w:r>
              <w:t>Petty, R. E., &amp; Cacioppo, J. T. (1986). Advances in Experimental Social Psychology, 19, 123-205. DOI: 10.1016/S0065-2601(08)60214-2</w:t>
            </w:r>
          </w:p>
        </w:tc>
      </w:tr>
      <w:tr>
        <w:tc>
          <w:tcPr>
            <w:tcW w:type="dxa" w:w="2556"/>
            <w:vAlign w:val="top"/>
          </w:tcPr>
          <w:p>
            <w:r>
              <w:t>E10</w:t>
            </w:r>
          </w:p>
        </w:tc>
        <w:tc>
          <w:tcPr>
            <w:tcW w:type="dxa" w:w="2556"/>
            <w:vAlign w:val="top"/>
          </w:tcPr>
          <w:p>
            <w:r>
              <w:t>プロスペクト理論 / 損失回避</w:t>
            </w:r>
          </w:p>
        </w:tc>
        <w:tc>
          <w:tcPr>
            <w:tcW w:type="dxa" w:w="2556"/>
            <w:vAlign w:val="top"/>
          </w:tcPr>
          <w:p>
            <w:r>
              <w:t>Kahneman &amp; Tversky (1979)。人は同等の利得より損失を強く感じやすい。煽りではなく「今のまま放置するリスク」を丁寧に言語化する。</w:t>
            </w:r>
          </w:p>
        </w:tc>
        <w:tc>
          <w:tcPr>
            <w:tcW w:type="dxa" w:w="2556"/>
            <w:vAlign w:val="top"/>
          </w:tcPr>
          <w:p>
            <w:r>
              <w:t>Kahneman, D., &amp; Tversky, A. (1979). Econometrica, 47(2), 263-291.</w:t>
            </w:r>
          </w:p>
        </w:tc>
      </w:tr>
      <w:tr>
        <w:tc>
          <w:tcPr>
            <w:tcW w:type="dxa" w:w="2556"/>
            <w:vAlign w:val="top"/>
          </w:tcPr>
          <w:p>
            <w:r>
              <w:t>E11</w:t>
            </w:r>
          </w:p>
        </w:tc>
        <w:tc>
          <w:tcPr>
            <w:tcW w:type="dxa" w:w="2556"/>
            <w:vAlign w:val="top"/>
          </w:tcPr>
          <w:p>
            <w:r>
              <w:t>Fogg Behavior Model</w:t>
            </w:r>
          </w:p>
        </w:tc>
        <w:tc>
          <w:tcPr>
            <w:tcW w:type="dxa" w:w="2556"/>
            <w:vAlign w:val="top"/>
          </w:tcPr>
          <w:p>
            <w:r>
              <w:t>BJ Fogg。行動はMotivation, Ability, Promptが同時にそろうと起こりやすい。チャレンジでは、やる気を上げるよりも行動を小さくし、促しを置く。</w:t>
            </w:r>
          </w:p>
        </w:tc>
        <w:tc>
          <w:tcPr>
            <w:tcW w:type="dxa" w:w="2556"/>
            <w:vAlign w:val="top"/>
          </w:tcPr>
          <w:p>
            <w:r>
              <w:t>The Behavior Institute: https://besci.org/models/fogg-behavior-model</w:t>
            </w:r>
          </w:p>
        </w:tc>
      </w:tr>
      <w:tr>
        <w:tc>
          <w:tcPr>
            <w:tcW w:type="dxa" w:w="2556"/>
            <w:vAlign w:val="top"/>
          </w:tcPr>
          <w:p>
            <w:r>
              <w:t>E12</w:t>
            </w:r>
          </w:p>
        </w:tc>
        <w:tc>
          <w:tcPr>
            <w:tcW w:type="dxa" w:w="2556"/>
            <w:vAlign w:val="top"/>
          </w:tcPr>
          <w:p>
            <w:r>
              <w:t>Value Proposition Canvas</w:t>
            </w:r>
          </w:p>
        </w:tc>
        <w:tc>
          <w:tcPr>
            <w:tcW w:type="dxa" w:w="2556"/>
            <w:vAlign w:val="top"/>
          </w:tcPr>
          <w:p>
            <w:r>
              <w:t>Strategyzer公式。顧客のJobs, Pains, Gainsと提供価値のPain Relievers, Gain Creatorsを対応させる。チャレンジのテーマ設計に使う。</w:t>
            </w:r>
          </w:p>
        </w:tc>
        <w:tc>
          <w:tcPr>
            <w:tcW w:type="dxa" w:w="2556"/>
            <w:vAlign w:val="top"/>
          </w:tcPr>
          <w:p>
            <w:r>
              <w:t>Strategyzer公式: https://www.strategyzer.com/library/the-value-proposition-canvas</w:t>
            </w:r>
          </w:p>
        </w:tc>
      </w:tr>
    </w:tbl>
    <w:p/>
    <w:p>
      <w:pPr>
        <w:pStyle w:val="Heading1"/>
      </w:pPr>
      <w:r>
        <w:t>理論から実行への変換表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理論・概念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3日間チャレンジへの変換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具体アクション</w:t>
            </w:r>
          </w:p>
        </w:tc>
      </w:tr>
      <w:tr>
        <w:tc>
          <w:tcPr>
            <w:tcW w:type="dxa" w:w="3408"/>
            <w:vAlign w:val="top"/>
          </w:tcPr>
          <w:p>
            <w:r>
              <w:t>PLF</w:t>
            </w:r>
          </w:p>
        </w:tc>
        <w:tc>
          <w:tcPr>
            <w:tcW w:type="dxa" w:w="3408"/>
            <w:vAlign w:val="top"/>
          </w:tcPr>
          <w:p>
            <w:r>
              <w:t>販売前に教育・期待・対話を作る</w:t>
            </w:r>
          </w:p>
        </w:tc>
        <w:tc>
          <w:tcPr>
            <w:tcW w:type="dxa" w:w="3408"/>
            <w:vAlign w:val="top"/>
          </w:tcPr>
          <w:p>
            <w:r>
              <w:t>Day1〜Day3をPrelaunch Contentとして設計する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SDT</w:t>
            </w:r>
          </w:p>
        </w:tc>
        <w:tc>
          <w:tcPr>
            <w:tcW w:type="dxa" w:w="3408"/>
            <w:vAlign w:val="top"/>
          </w:tcPr>
          <w:p>
            <w:r>
              <w:t>自律性・有能感・関係性を満たす</w:t>
            </w:r>
          </w:p>
        </w:tc>
        <w:tc>
          <w:tcPr>
            <w:tcW w:type="dxa" w:w="3408"/>
            <w:vAlign w:val="top"/>
          </w:tcPr>
          <w:p>
            <w:r>
              <w:t>選択肢、簡単ワーク、コメント交流を入れる</w:t>
            </w:r>
          </w:p>
        </w:tc>
      </w:tr>
      <w:tr>
        <w:tc>
          <w:tcPr>
            <w:tcW w:type="dxa" w:w="3408"/>
            <w:vAlign w:val="top"/>
          </w:tcPr>
          <w:p>
            <w:r>
              <w:t>自己効力感</w:t>
            </w:r>
          </w:p>
        </w:tc>
        <w:tc>
          <w:tcPr>
            <w:tcW w:type="dxa" w:w="3408"/>
            <w:vAlign w:val="top"/>
          </w:tcPr>
          <w:p>
            <w:r>
              <w:t>できそう感を作る</w:t>
            </w:r>
          </w:p>
        </w:tc>
        <w:tc>
          <w:tcPr>
            <w:tcW w:type="dxa" w:w="3408"/>
            <w:vAlign w:val="top"/>
          </w:tcPr>
          <w:p>
            <w:r>
              <w:t>Day2で5〜15分の成功体験を設計する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目標設定理論</w:t>
            </w:r>
          </w:p>
        </w:tc>
        <w:tc>
          <w:tcPr>
            <w:tcW w:type="dxa" w:w="3408"/>
            <w:vAlign w:val="top"/>
          </w:tcPr>
          <w:p>
            <w:r>
              <w:t>毎日のゴールを明確化</w:t>
            </w:r>
          </w:p>
        </w:tc>
        <w:tc>
          <w:tcPr>
            <w:tcW w:type="dxa" w:w="3408"/>
            <w:vAlign w:val="top"/>
          </w:tcPr>
          <w:p>
            <w:r>
              <w:t>各日冒頭に今日の到達点を提示する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認知負荷理論</w:t>
            </w:r>
          </w:p>
        </w:tc>
        <w:tc>
          <w:tcPr>
            <w:tcW w:type="dxa" w:w="3408"/>
            <w:vAlign w:val="top"/>
          </w:tcPr>
          <w:p>
            <w:r>
              <w:t>詰め込みを避ける</w:t>
            </w:r>
          </w:p>
        </w:tc>
        <w:tc>
          <w:tcPr>
            <w:tcW w:type="dxa" w:w="3408"/>
            <w:vAlign w:val="top"/>
          </w:tcPr>
          <w:p>
            <w:r>
              <w:t>1日1テーマ、1スライド1メッセージにする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検索練習</w:t>
            </w:r>
          </w:p>
        </w:tc>
        <w:tc>
          <w:tcPr>
            <w:tcW w:type="dxa" w:w="3408"/>
            <w:vAlign w:val="top"/>
          </w:tcPr>
          <w:p>
            <w:r>
              <w:t>思い出す・書く・話す</w:t>
            </w:r>
          </w:p>
        </w:tc>
        <w:tc>
          <w:tcPr>
            <w:tcW w:type="dxa" w:w="3408"/>
            <w:vAlign w:val="top"/>
          </w:tcPr>
          <w:p>
            <w:r>
              <w:t>毎日ワークとシェアを入れる</w:t>
            </w:r>
          </w:p>
        </w:tc>
      </w:tr>
      <w:tr>
        <w:tc>
          <w:tcPr>
            <w:tcW w:type="dxa" w:w="3408"/>
            <w:vAlign w:val="top"/>
          </w:tcPr>
          <w:p>
            <w:r>
              <w:t>Cialdini</w:t>
            </w:r>
          </w:p>
        </w:tc>
        <w:tc>
          <w:tcPr>
            <w:tcW w:type="dxa" w:w="3408"/>
            <w:vAlign w:val="top"/>
          </w:tcPr>
          <w:p>
            <w:r>
              <w:t>信頼・返報性・一貫性・社会的証明を倫理的に使う</w:t>
            </w:r>
          </w:p>
        </w:tc>
        <w:tc>
          <w:tcPr>
            <w:tcW w:type="dxa" w:w="3408"/>
            <w:vAlign w:val="top"/>
          </w:tcPr>
          <w:p>
            <w:r>
              <w:t>無料価値提供、事例、参加宣言、正確な期限設定</w:t>
            </w:r>
          </w:p>
        </w:tc>
      </w:tr>
      <w:tr>
        <w:tc>
          <w:tcPr>
            <w:tcW w:type="dxa" w:w="3408"/>
            <w:vAlign w:val="top"/>
          </w:tcPr>
          <w:p>
            <w:r>
              <w:t>ELM</w:t>
            </w:r>
          </w:p>
        </w:tc>
        <w:tc>
          <w:tcPr>
            <w:tcW w:type="dxa" w:w="3408"/>
            <w:vAlign w:val="top"/>
          </w:tcPr>
          <w:p>
            <w:r>
              <w:t>中心ルートで納得を作る</w:t>
            </w:r>
          </w:p>
        </w:tc>
        <w:tc>
          <w:tcPr>
            <w:tcW w:type="dxa" w:w="3408"/>
            <w:vAlign w:val="top"/>
          </w:tcPr>
          <w:p>
            <w:r>
              <w:t>Day3で論理、対象者、内容、価格、FAQを整理</w:t>
            </w:r>
          </w:p>
        </w:tc>
      </w:tr>
      <w:tr>
        <w:tc>
          <w:tcPr>
            <w:tcW w:type="dxa" w:w="3408"/>
            <w:vAlign w:val="top"/>
          </w:tcPr>
          <w:p>
            <w:r>
              <w:t>Fogg Behavior Model</w:t>
            </w:r>
          </w:p>
        </w:tc>
        <w:tc>
          <w:tcPr>
            <w:tcW w:type="dxa" w:w="3408"/>
            <w:vAlign w:val="top"/>
          </w:tcPr>
          <w:p>
            <w:r>
              <w:t>行動を小さくし、促しを置く</w:t>
            </w:r>
          </w:p>
        </w:tc>
        <w:tc>
          <w:tcPr>
            <w:tcW w:type="dxa" w:w="3408"/>
            <w:vAlign w:val="top"/>
          </w:tcPr>
          <w:p>
            <w:r>
              <w:t>LINEリマインド、5分ワーク、提出促進</w:t>
            </w:r>
          </w:p>
        </w:tc>
      </w:tr>
      <w:tr>
        <w:tc>
          <w:tcPr>
            <w:tcW w:type="dxa" w:w="3408"/>
            <w:vAlign w:val="top"/>
          </w:tcPr>
          <w:p>
            <w:r>
              <w:t>Value Proposition Canvas</w:t>
            </w:r>
          </w:p>
        </w:tc>
        <w:tc>
          <w:tcPr>
            <w:tcW w:type="dxa" w:w="3408"/>
            <w:vAlign w:val="top"/>
          </w:tcPr>
          <w:p>
            <w:r>
              <w:t>顧客のJobs/Pains/Gainsと価値を合わせる</w:t>
            </w:r>
          </w:p>
        </w:tc>
        <w:tc>
          <w:tcPr>
            <w:tcW w:type="dxa" w:w="3408"/>
            <w:vAlign w:val="top"/>
          </w:tcPr>
          <w:p>
            <w:r>
              <w:t>企画前に悩み・理想・解決要素を対応表にする</w:t>
            </w:r>
          </w:p>
        </w:tc>
      </w:tr>
    </w:tbl>
    <w:p/>
    <w:p>
      <w:pPr>
        <w:pStyle w:val="Heading1"/>
      </w:pPr>
      <w:r>
        <w:t>注意：根拠の使い方</w:t>
      </w:r>
    </w:p>
    <w:p>
      <w:pPr>
        <w:pStyle w:val="ListBullet"/>
      </w:pPr>
      <w:r>
        <w:t>研究知見は「必ず売れる保証」ではない。人の学習・動機づけ・意思決定に関する設計品質を上げるために使う。</w:t>
      </w:r>
    </w:p>
    <w:p>
      <w:pPr>
        <w:pStyle w:val="ListBullet"/>
      </w:pPr>
      <w:r>
        <w:t>PLFやコピーライティング型は実務フレームであり、学術的に万能性が証明されたものではない。</w:t>
      </w:r>
    </w:p>
    <w:p>
      <w:pPr>
        <w:pStyle w:val="ListBullet"/>
      </w:pPr>
      <w:r>
        <w:t>希少性・損失回避・社会的証明は強力なため、虚偽・誇大・不安煽りには使わない。</w:t>
      </w:r>
    </w:p>
    <w:p>
      <w:pPr>
        <w:pStyle w:val="ListBullet"/>
      </w:pPr>
      <w:r>
        <w:t>高単価商品ほど、中心ルートでの納得（内容・実績・対象者・価格・リスク説明）を重視する。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