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法人保険営業の外部環境・リスク要因</w:t>
      </w:r>
    </w:p>
    <w:p>
      <w:pPr>
        <w:jc w:val="center"/>
      </w:pPr>
      <w:r>
        <w:rPr>
          <w:color w:val="555555"/>
          <w:sz w:val="22"/>
        </w:rPr>
        <w:t>課題 → 過去の外部ショック → 今後発生しうる外部要因</w:t>
      </w:r>
    </w:p>
    <w:p>
      <w:pPr>
        <w:jc w:val="center"/>
      </w:pPr>
      <w:r>
        <w:rPr>
          <w:color w:val="777777"/>
          <w:sz w:val="16"/>
        </w:rPr>
        <w:t>調査日：2026年6月26日　｜　数値は官公庁・大手紙の一次/準一次で確認　｜　確度〔高/中/低〕　｜　税務は国税庁一次＋知識ドメインで再確認</w:t>
      </w:r>
    </w:p>
    <w:p/>
    <w:p>
      <w:pPr>
        <w:pStyle w:val="Heading1"/>
      </w:pPr>
      <w:r>
        <w:t>0. 一言で（この資料の主張）</w:t>
      </w:r>
    </w:p>
    <w:p>
      <w:r>
        <w:rPr>
          <w:b/>
        </w:rPr>
        <w:t>法人保険営業を取り巻く外部環境は、①個人マーケットの構造的縮小 ②節税モデルの制度的終焉 ③規制・資本・税制の三重圧力 ④事業承継の時限——のすべてが同じ一点を指している。</w:t>
      </w:r>
    </w:p>
    <w:p>
      <w:r>
        <w:rPr>
          <w:b w:val="0"/>
        </w:rPr>
        <w:t>→「節税・貯蓄性・商品比較」で売る入口は外部要因で次々に塞がれ、AI・比較・規制に代替されない『経営者の相談役（財務・保障・承継の当事者支援）』だけが生存線。営業マン個人では1つも変えられない＝だから学んで立ち位置を変えるしかない、がセミナーの背骨。</w:t>
      </w:r>
    </w:p>
    <w:p>
      <w:pPr>
        <w:pStyle w:val="Heading1"/>
      </w:pPr>
      <w:r>
        <w:t>1. 法人保険営業マンの課題（“個人の壁”）</w:t>
      </w:r>
    </w:p>
    <w:p>
      <w:pPr>
        <w:pStyle w:val="Heading2"/>
      </w:pPr>
      <w:r>
        <w:t>1-1. 個人マーケットは構造的に飽和〔一次・高〕</w:t>
      </w:r>
    </w:p>
    <w:p>
      <w:pPr>
        <w:pStyle w:val="ListBullet"/>
      </w:pPr>
      <w:r>
        <w:t>世帯加入率 89.2%（2024）／1994年の95%がピーク＝未加入世帯はほぼ残らず、新規は奪い合い（リプレイス）。</w:t>
      </w:r>
    </w:p>
    <w:p>
      <w:pPr>
        <w:pStyle w:val="ListBullet"/>
      </w:pPr>
      <w:r>
        <w:t>世帯 普通死亡保険金額 2,255万(2018)→1,936万(2024)・2009年以降一貫減＝頭数も単価も縮む。</w:t>
      </w:r>
    </w:p>
    <w:p>
      <w:pPr>
        <w:pStyle w:val="Heading2"/>
      </w:pPr>
      <w:r>
        <w:t>1-2. 所得は頭打ち・脱落は激しい</w:t>
      </w:r>
    </w:p>
    <w:p>
      <w:pPr>
        <w:pStyle w:val="ListBullet"/>
      </w:pPr>
      <w:r>
        <w:t>平均年収 約500万円（男497.5/女306.1・賃金構造基本統計2024）。MDRT級は約2%、平均500万 vs MDRT1,400万＝約3倍。</w:t>
      </w:r>
    </w:p>
    <w:p>
      <w:pPr>
        <w:pStyle w:val="ListBullet"/>
      </w:pPr>
      <w:r>
        <w:t>入社5年目在籍率25%＝5年で約4人に3人が脱落（主要8社・日経2025）。</w:t>
      </w:r>
    </w:p>
    <w:p>
      <w:pPr>
        <w:pStyle w:val="Heading2"/>
      </w:pPr>
      <w:r>
        <w:t>1-3. 法人参入の壁（定性・複数ソース一致〔中〕）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30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壁</w:t>
            </w:r>
          </w:p>
        </w:tc>
        <w:tc>
          <w:tcPr>
            <w:tcW w:type="dxa" w:w="864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中身</w:t>
            </w:r>
          </w:p>
        </w:tc>
      </w:tr>
      <w:tr>
        <w:tc>
          <w:tcPr>
            <w:tcW w:type="dxa" w:w="230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会えない</w:t>
            </w:r>
          </w:p>
        </w:tc>
        <w:tc>
          <w:tcPr>
            <w:tcW w:type="dxa" w:w="864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「保険屋」の顔では門前払い、社長は「税理士に任せている」で弾く</w:t>
            </w:r>
          </w:p>
        </w:tc>
      </w:tr>
      <w:tr>
        <w:tc>
          <w:tcPr>
            <w:tcW w:type="dxa" w:w="230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読めない</w:t>
            </w:r>
          </w:p>
        </w:tc>
        <w:tc>
          <w:tcPr>
            <w:tcW w:type="dxa" w:w="864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決算書が読めない＝話の糸口がない（最大の壁・講座コンセプト直結）</w:t>
            </w:r>
          </w:p>
        </w:tc>
      </w:tr>
      <w:tr>
        <w:tc>
          <w:tcPr>
            <w:tcW w:type="dxa" w:w="230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型がない</w:t>
            </w:r>
          </w:p>
        </w:tc>
        <w:tc>
          <w:tcPr>
            <w:tcW w:type="dxa" w:w="864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法人保険・相続・事業承継の提案フレームを持っていない</w:t>
            </w:r>
          </w:p>
        </w:tc>
      </w:tr>
      <w:tr>
        <w:tc>
          <w:tcPr>
            <w:tcW w:type="dxa" w:w="230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教わる場がない</w:t>
            </w:r>
          </w:p>
        </w:tc>
        <w:tc>
          <w:tcPr>
            <w:tcW w:type="dxa" w:w="864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社内研修は商品知識止まり。法人開拓を教える人がいない</w:t>
            </w:r>
          </w:p>
        </w:tc>
      </w:tr>
      <w:tr>
        <w:tc>
          <w:tcPr>
            <w:tcW w:type="dxa" w:w="230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連携できない</w:t>
            </w:r>
          </w:p>
        </w:tc>
        <w:tc>
          <w:tcPr>
            <w:tcW w:type="dxa" w:w="864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税理士の信頼を得て紹介をもらう入口がない</w:t>
            </w:r>
          </w:p>
        </w:tc>
      </w:tr>
    </w:tbl>
    <w:p/>
    <w:p>
      <w:r>
        <w:rPr>
          <w:b w:val="0"/>
        </w:rPr>
        <w:t>1-4. 法人保険の難化：2019年以降「節税で売る」が封じられ、保障・財務・事業承継で語れないと売れない＝高度化。本質は「節税」でなく『課税の繰延べ』で、出口（退職金等）を契約前に設計しないと“ただの先送り”。</w:t>
      </w:r>
    </w:p>
    <w:p>
      <w:pPr>
        <w:pStyle w:val="Heading1"/>
      </w:pPr>
      <w:r>
        <w:t>2. すでに起きた外部ショック（過去＝地殻変動）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58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時期</w:t>
            </w:r>
          </w:p>
        </w:tc>
        <w:tc>
          <w:tcPr>
            <w:tcW w:type="dxa" w:w="302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外部要因</w:t>
            </w:r>
          </w:p>
        </w:tc>
        <w:tc>
          <w:tcPr>
            <w:tcW w:type="dxa" w:w="576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内容</w:t>
            </w:r>
          </w:p>
        </w:tc>
        <w:tc>
          <w:tcPr>
            <w:tcW w:type="dxa" w:w="72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確度</w:t>
            </w:r>
          </w:p>
        </w:tc>
      </w:tr>
      <w:tr>
        <w:tc>
          <w:tcPr>
            <w:tcW w:type="dxa" w:w="158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2019/2/14</w:t>
            </w:r>
          </w:p>
        </w:tc>
        <w:tc>
          <w:tcPr>
            <w:tcW w:type="dxa" w:w="302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バレンタインショック</w:t>
            </w:r>
          </w:p>
        </w:tc>
        <w:tc>
          <w:tcPr>
            <w:tcW w:type="dxa" w:w="576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国税庁が法人定期保険の損金算入見直しを表明→各社一斉販売停止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158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2019/7/8〜</w:t>
            </w:r>
          </w:p>
        </w:tc>
        <w:tc>
          <w:tcPr>
            <w:tcW w:type="dxa" w:w="302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通達9-3-5の2（4区分）</w:t>
            </w:r>
          </w:p>
        </w:tc>
        <w:tc>
          <w:tcPr>
            <w:tcW w:type="dxa" w:w="576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最高解約返戻率50%超は資産計上。85%超→当初10年は返戻率×90%資産計上＝全損消滅（例外：70%以下かつ年30万以下は全損OK）</w:t>
            </w:r>
          </w:p>
        </w:tc>
        <w:tc>
          <w:tcPr>
            <w:tcW w:type="dxa" w:w="7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158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2021/7/1〜</w:t>
            </w:r>
          </w:p>
        </w:tc>
        <w:tc>
          <w:tcPr>
            <w:tcW w:type="dxa" w:w="302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ホワイトデーショック</w:t>
            </w:r>
          </w:p>
        </w:tc>
        <w:tc>
          <w:tcPr>
            <w:tcW w:type="dxa" w:w="576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所得税通達36-37改正で名義変更プラン封じ（低解約返戻金型の権利移転を資産計上額で評価）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158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2022/7</w:t>
            </w:r>
          </w:p>
        </w:tc>
        <w:tc>
          <w:tcPr>
            <w:tcW w:type="dxa" w:w="302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金融庁×国税庁の連携強化</w:t>
            </w:r>
          </w:p>
        </w:tc>
        <w:tc>
          <w:tcPr>
            <w:tcW w:type="dxa" w:w="576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商品審査・モニタリング両段階で情報共有。節税商品の事前照会体制が恒常化</w:t>
            </w:r>
          </w:p>
        </w:tc>
        <w:tc>
          <w:tcPr>
            <w:tcW w:type="dxa" w:w="7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158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長期</w:t>
            </w:r>
          </w:p>
        </w:tc>
        <w:tc>
          <w:tcPr>
            <w:tcW w:type="dxa" w:w="302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個人保険の縮小</w:t>
            </w:r>
          </w:p>
        </w:tc>
        <w:tc>
          <w:tcPr>
            <w:tcW w:type="dxa" w:w="576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加入率95%→89.2%、死亡保障額の一貫減、顧客の高齢化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</w:tbl>
    <w:p/>
    <w:p>
      <w:r>
        <w:rPr>
          <w:b/>
        </w:rPr>
        <w:t>含意：「節税商品売り」モデルは一過性でなく恒常的に潰され続ける。次の主戦場（外貨建て一時払い）も既に規制入り（§3-B）。</w:t>
      </w:r>
    </w:p>
    <w:p>
      <w:pPr>
        <w:pStyle w:val="Heading1"/>
      </w:pPr>
      <w:r>
        <w:t>3. 今後発生しうる外部要因（これから来る）</w:t>
      </w:r>
    </w:p>
    <w:p>
      <w:pPr>
        <w:pStyle w:val="Heading2"/>
      </w:pPr>
      <w:r>
        <w:t>3-A. 税制（確定／予定／議論）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外部要因</w:t>
            </w:r>
          </w:p>
        </w:tc>
        <w:tc>
          <w:tcPr>
            <w:tcW w:type="dxa" w:w="432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時期・状態</w:t>
            </w:r>
          </w:p>
        </w:tc>
        <w:tc>
          <w:tcPr>
            <w:tcW w:type="dxa" w:w="374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営業への含意</w:t>
            </w:r>
          </w:p>
        </w:tc>
        <w:tc>
          <w:tcPr>
            <w:tcW w:type="dxa" w:w="72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確度</w:t>
            </w:r>
          </w:p>
        </w:tc>
      </w:tr>
      <w:tr>
        <w:tc>
          <w:tcPr>
            <w:tcW w:type="dxa" w:w="2448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事業承継税制 特例の“崖”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適用（実行）期限＝2027/12/31（法人版）据え置き・延長見込みなし。計画提出は2027/9/30へ延長方向（法案待ち／旧2026/3/31残存・要税理士確認）</w:t>
            </w:r>
          </w:p>
        </w:tc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「使うなら今」の駆け込み根拠。出口は動かない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高/中</w:t>
            </w:r>
          </w:p>
        </w:tc>
      </w:tr>
      <w:tr>
        <w:tc>
          <w:tcPr>
            <w:tcW w:type="dxa" w:w="244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自社株評価ルールの見直し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国税庁有識者会議2026/4開始、引上げ方向、早ければ2028/1新方式</w:t>
            </w:r>
          </w:p>
        </w:tc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“今動く理由”の本命。ただし未確定＝断定しない</w:t>
            </w:r>
          </w:p>
        </w:tc>
        <w:tc>
          <w:tcPr>
            <w:tcW w:type="dxa" w:w="7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中/低</w:t>
            </w:r>
          </w:p>
        </w:tc>
      </w:tr>
      <w:tr>
        <w:tc>
          <w:tcPr>
            <w:tcW w:type="dxa" w:w="2448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生前贈与加算 3→7年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2024/1〜・フル7年は2031/1相続〜（段階移行）</w:t>
            </w:r>
          </w:p>
        </w:tc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暦年贈与の駆け込み余地が縮む→精算課税110万＋生保非課税枠が有利化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244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相続時精算課税 年110万控除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2024/1〜・既施行（持ち戻し不要）</w:t>
            </w:r>
          </w:p>
        </w:tc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「精算課税＝全部足し戻し」の誤解を更新する提案ネタ</w:t>
            </w:r>
          </w:p>
        </w:tc>
        <w:tc>
          <w:tcPr>
            <w:tcW w:type="dxa" w:w="7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2448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退職所得控除の見直し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議論中・3年連続見送り（2024/11再浮上）</w:t>
            </w:r>
          </w:p>
        </w:tc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役員退職金の出口を前倒しする動機。「削減確定」は誤り＝議論段階と明示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事実中/今後低</w:t>
            </w:r>
          </w:p>
        </w:tc>
      </w:tr>
      <w:tr>
        <w:tc>
          <w:tcPr>
            <w:tcW w:type="dxa" w:w="244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退職金×DC一時金「10年ルール」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確定・2026/1以後のDC一時金受給から（5→10年）</w:t>
            </w:r>
          </w:p>
        </w:tc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役員の退職金・年金の受取り順序/タイミング設計に即影響</w:t>
            </w:r>
          </w:p>
        </w:tc>
        <w:tc>
          <w:tcPr>
            <w:tcW w:type="dxa" w:w="7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2448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純資産価額方式の控除38%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2026/4以後（37%→38%）</w:t>
            </w:r>
          </w:p>
        </w:tc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株価がわずかに下がる（納税者有利）＝前提が変わった更新ネタ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244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生命保険料控除6万円（子育て）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2026・2027年分の時限・恒久化見送り・所得税のみ</w:t>
            </w:r>
          </w:p>
        </w:tc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個人保険側のフック（法人でない）。「今のうち」根拠</w:t>
            </w:r>
          </w:p>
        </w:tc>
        <w:tc>
          <w:tcPr>
            <w:tcW w:type="dxa" w:w="7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</w:tbl>
    <w:p/>
    <w:p>
      <w:pPr>
        <w:pStyle w:val="Heading2"/>
      </w:pPr>
      <w:r>
        <w:t>3-B. 規制・市場（マクロ）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外部要因</w:t>
            </w:r>
          </w:p>
        </w:tc>
        <w:tc>
          <w:tcPr>
            <w:tcW w:type="dxa" w:w="432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時期・状態</w:t>
            </w:r>
          </w:p>
        </w:tc>
        <w:tc>
          <w:tcPr>
            <w:tcW w:type="dxa" w:w="3744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営業への含意</w:t>
            </w:r>
          </w:p>
        </w:tc>
        <w:tc>
          <w:tcPr>
            <w:tcW w:type="dxa" w:w="720"/>
            <w:shd w:val="clear" w:fill="D5E8F0"/>
          </w:tcPr>
          <w:p>
            <w:r>
              <w:rPr>
                <w:rFonts w:ascii="Yu Gothic" w:hAnsi="Yu Gothic" w:eastAsia="Yu Gothic" w:cs="Yu Gothic"/>
                <w:b/>
                <w:sz w:val="18"/>
              </w:rPr>
              <w:t>確度</w:t>
            </w:r>
          </w:p>
        </w:tc>
      </w:tr>
      <w:tr>
        <w:tc>
          <w:tcPr>
            <w:tcW w:type="dxa" w:w="2448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経済価値ソルベンシー規制（ESR）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適用＝2026/3末（2025/4以降開始年度末監査から）。ICS採択2025/1</w:t>
            </w:r>
          </w:p>
        </w:tc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「予定利率」概念が消え、貯蓄性/一時払いは資本コスト増→商品抑制・改定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高/中</w:t>
            </w:r>
          </w:p>
        </w:tc>
      </w:tr>
      <w:tr>
        <w:tc>
          <w:tcPr>
            <w:tcW w:type="dxa" w:w="244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顧客本位＋販売規制強化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外貨建一時払い「4年で約6割解約」を問題視→2025/4にターゲット型廃止・手数料見直し。共通KPI開示</w:t>
            </w:r>
          </w:p>
        </w:tc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「商品で売る・回転売買」モデルへの締め付け、手数料の透明化</w:t>
            </w:r>
          </w:p>
        </w:tc>
        <w:tc>
          <w:tcPr>
            <w:tcW w:type="dxa" w:w="7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2448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金利上昇・インフレ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日本生命が40年ぶり予定利率引上げ（2025/1）、円建て貯蓄性が復活</w:t>
            </w:r>
          </w:p>
        </w:tc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既契約は固定で取り残し→乗換提案の動機↑（FDと緊張）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高/中</w:t>
            </w:r>
          </w:p>
        </w:tc>
      </w:tr>
      <w:tr>
        <w:tc>
          <w:tcPr>
            <w:tcW w:type="dxa" w:w="244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新NISA「貯蓄から投資」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2024〜・恒久化・枠拡大</w:t>
            </w:r>
          </w:p>
        </w:tc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貯蓄性保険は運用効率でNISAに劣後＝貯蓄性一本足が苦しく、役割分離へ</w:t>
            </w:r>
          </w:p>
        </w:tc>
        <w:tc>
          <w:tcPr>
            <w:tcW w:type="dxa" w:w="7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高/中</w:t>
            </w:r>
          </w:p>
        </w:tc>
      </w:tr>
      <w:tr>
        <w:tc>
          <w:tcPr>
            <w:tcW w:type="dxa" w:w="2448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人口減・中小企業減</w:t>
            </w:r>
          </w:p>
        </w:tc>
        <w:tc>
          <w:tcPr>
            <w:tcW w:type="dxa" w:w="43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生産年齢人口 2020:7,508万→2043:5,969万。2025年問題127万社・GDP22兆円</w:t>
            </w:r>
          </w:p>
        </w:tc>
        <w:tc>
          <w:tcPr>
            <w:tcW w:type="dxa" w:w="3744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個人の頭数モデルは長期縮小／法人＝承継・相続は今が需要ピーク帯</w:t>
            </w:r>
          </w:p>
        </w:tc>
        <w:tc>
          <w:tcPr>
            <w:tcW w:type="dxa" w:w="720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高</w:t>
            </w:r>
          </w:p>
        </w:tc>
      </w:tr>
      <w:tr>
        <w:tc>
          <w:tcPr>
            <w:tcW w:type="dxa" w:w="2448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デジタル・AI・比較・組込型</w:t>
            </w:r>
          </w:p>
        </w:tc>
        <w:tc>
          <w:tcPr>
            <w:tcW w:type="dxa" w:w="43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進行中（比較サイト・ネット生保・embedded・生成AI）</w:t>
            </w:r>
          </w:p>
        </w:tc>
        <w:tc>
          <w:tcPr>
            <w:tcW w:type="dxa" w:w="3744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単純な商品仲介・比較は中抜き。AIに代替されない領域＝相談役</w:t>
            </w:r>
          </w:p>
        </w:tc>
        <w:tc>
          <w:tcPr>
            <w:tcW w:type="dxa" w:w="720"/>
            <w:shd w:val="clear" w:fill="F2F7FB"/>
          </w:tcPr>
          <w:p>
            <w:r>
              <w:rPr>
                <w:rFonts w:ascii="Yu Gothic" w:hAnsi="Yu Gothic" w:eastAsia="Yu Gothic" w:cs="Yu Gothic"/>
                <w:b w:val="0"/>
                <w:sz w:val="18"/>
              </w:rPr>
              <w:t>中</w:t>
            </w:r>
          </w:p>
        </w:tc>
      </w:tr>
    </w:tbl>
    <w:p/>
    <w:p>
      <w:pPr>
        <w:pStyle w:val="Heading1"/>
      </w:pPr>
      <w:r>
        <w:t>4. 結論 ― 外部要因が指す“一つの方向”</w:t>
      </w:r>
    </w:p>
    <w:p>
      <w:r>
        <w:rPr>
          <w:b w:val="0"/>
        </w:rPr>
        <w:t>過去ショック（2019/2021/2022）も、これから来る税制（2026-2028）も、マクロ（ESR・FD・金利・NISA・人口・AI）も、すべて同じ結論に収束する：</w:t>
      </w:r>
    </w:p>
    <w:p>
      <w:r>
        <w:rPr>
          <w:b/>
        </w:rPr>
        <w:t>「節税」「貯蓄性」「商品比較」で売る入口は外部要因で次々に塞がれていく。残るのは“経営者の数字に踏み込める相談役”だけ。</w:t>
      </w:r>
    </w:p>
    <w:p>
      <w:pPr>
        <w:pStyle w:val="ListBullet"/>
      </w:pPr>
      <w:r>
        <w:t>営業マン個人では1つも変えられない＝戦い方そのものを変える以外に道がない。</w:t>
      </w:r>
    </w:p>
    <w:p>
      <w:pPr>
        <w:pStyle w:val="ListBullet"/>
      </w:pPr>
      <w:r>
        <w:t>法人＝承継・相続は時限（2027/2028）があり、今がピーク帯。「学ぶなら今」が外部要因で裏付く。</w:t>
      </w:r>
    </w:p>
    <w:p>
      <w:pPr>
        <w:pStyle w:val="Heading1"/>
      </w:pPr>
      <w:r>
        <w:t>5. セミナーでの使い方（Day別）</w:t>
      </w:r>
    </w:p>
    <w:p>
      <w:pPr>
        <w:pStyle w:val="ListBullet"/>
      </w:pPr>
      <w:r>
        <w:t>Day1（WHY／問題認識）：§1（個人の壁）＋§2（過去ショック）＋§4で「このままでは縮む。商品売りは外部要因で詰む」＝危機感。</w:t>
      </w:r>
    </w:p>
    <w:p>
      <w:pPr>
        <w:pStyle w:val="ListBullet"/>
      </w:pPr>
      <w:r>
        <w:t>Day2（HOW／市場を数字で）：§3-A事業承継・§1-1の数字で「相談役の市場はこれだけ大きい・時限がある」（コンプラ注意書き）。</w:t>
      </w:r>
    </w:p>
    <w:p>
      <w:pPr>
        <w:pStyle w:val="ListBullet"/>
      </w:pPr>
      <w:r>
        <w:t>Day3（GAP／学ぶ理由）：§3全体で「外部要因が次々来る＝独学では追えない。体系×伴走で立ち位置を変える」＝講座へ。</w:t>
      </w:r>
    </w:p>
    <w:p>
      <w:pPr>
        <w:pStyle w:val="Heading1"/>
      </w:pPr>
      <w:r>
        <w:t>6. 確度・要再確認</w:t>
      </w:r>
    </w:p>
    <w:p>
      <w:pPr>
        <w:pStyle w:val="ListBullet"/>
      </w:pPr>
      <w:r>
        <w:t>強い（一次）：通達9-3-5の2・名義変更封じ（国税庁）、ESR・FD/外貨建て規制・生保控除（金融庁）、生前贈与7年・精算課税110万・DC通算10年（令和7年度改正）、事業承継適用期限（中小企業庁）、加入率/保障額（文化センター/協会）、人口（総務省）、予定利率（日経）。</w:t>
      </w:r>
    </w:p>
    <w:p>
      <w:pPr>
        <w:pStyle w:val="ListBullet"/>
      </w:pPr>
      <w:r>
        <w:t>流動的（断定しない）：自社株評価見直し（2028想定）、退職所得控除見直し、特例承継計画の提出期限（旧情報残存・要税理士確認）、ESR/金利/NISA/AIの「影響の方向性」。</w:t>
      </w:r>
    </w:p>
    <w:p>
      <w:pPr>
        <w:pStyle w:val="ListBullet"/>
      </w:pPr>
      <w:r>
        <w:t>コンプラ：税の細部は国税庁一次＋知識ドメインで二重確認。客先では情報提供にとどめる（税理士法・保険業法）。「予定」「議論段階」を確定として語らない。</w:t>
      </w:r>
    </w:p>
    <w:p>
      <w:r>
        <w:rPr>
          <w:color w:val="777777"/>
          <w:sz w:val="16"/>
        </w:rPr>
        <w:t>詳細・出典URLはリポジトリ内 docs/research/法人保険営業の外部環境・リスク要因_リサーチ.md を参照。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 w:cs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 w:eastAsia="Yu Gothic" w:cs="Yu Gothic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 w:cs="Yu Gothic"/>
      <w:b/>
      <w:color w:val="1F4E79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