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8"/>
          <w:sz w:val="20"/>
        </w:rPr>
        <w:t>REPORT 4</w:t>
      </w:r>
    </w:p>
    <w:p>
      <w:pPr>
        <w:jc w:val="center"/>
      </w:pPr>
      <w:r>
        <w:rPr>
          <w:rFonts w:ascii="Arial" w:hAnsi="Arial"/>
          <w:b/>
          <w:color w:val="1F4E78"/>
          <w:sz w:val="38"/>
        </w:rPr>
        <w:t>EXPERIMENT &amp; EVALUATION REPORT</w:t>
      </w:r>
    </w:p>
    <w:p>
      <w:pPr>
        <w:jc w:val="center"/>
      </w:pPr>
      <w:r>
        <w:rPr>
          <w:rFonts w:ascii="Arial" w:hAnsi="Arial"/>
          <w:b/>
          <w:color w:val="1F1F1F"/>
          <w:sz w:val="24"/>
        </w:rPr>
        <w:t>Vehicle Behavior Analysis Using Real-World Trajectory Data</w:t>
      </w:r>
    </w:p>
    <w:p>
      <w:pPr>
        <w:jc w:val="center"/>
      </w:pPr>
      <w:r>
        <w:rPr>
          <w:rFonts w:ascii="Arial" w:hAnsi="Arial"/>
          <w:i/>
          <w:color w:val="555555"/>
          <w:sz w:val="18"/>
        </w:rPr>
        <w:t>Clustering-family comparison and stability validation</w:t>
      </w:r>
    </w:p>
    <w:p>
      <w:pPr>
        <w:spacing w:after="80"/>
        <w:jc w:val="center"/>
      </w:pPr>
      <w:r>
        <w:rPr>
          <w:rFonts w:ascii="Arial" w:hAnsi="Arial"/>
          <w:b/>
          <w:color w:val="1F4E78"/>
          <w:sz w:val="18"/>
        </w:rPr>
        <w:t>Group 3 | Class IS1904 | FPT University HCM</w:t>
      </w:r>
    </w:p>
    <w:p>
      <w:pPr>
        <w:jc w:val="center"/>
      </w:pPr>
      <w:r>
        <w:rPr>
          <w:rFonts w:ascii="Arial" w:hAnsi="Arial"/>
          <w:b/>
          <w:sz w:val="17"/>
        </w:rPr>
        <w:t>Lê Hữu Đại (SE184118), Nguyễn Quốc Cường (SE193612), Thái Nhật Hoàng (SE196438), Đặng Quang Phú (SE184468), Tô Ngọc Anh Tuấn (SE190681)</w:t>
      </w:r>
    </w:p>
    <w:p>
      <w:pPr>
        <w:spacing w:before="20" w:after="60"/>
        <w:pBdr>
          <w:bottom w:val="single" w:sz="8" w:space="1" w:color="1F4E78"/>
        </w:pBdr>
      </w:pPr>
    </w:p>
    <w:p>
      <w:pPr>
        <w:pStyle w:val="Heading1"/>
      </w:pPr>
      <w:r>
        <w:t>1. Experimental Objective</w:t>
      </w:r>
    </w:p>
    <w:p>
      <w:r>
        <w:rPr>
          <w:rFonts w:ascii="Arial" w:hAnsi="Arial"/>
          <w:i w:val="0"/>
          <w:sz w:val="19"/>
        </w:rPr>
        <w:t>The experiment compares the K-Means baseline with scalable centroid, probabilistic, hierarchical, and density-based alternatives. The goal is to identify the model that best answers the research question while balancing separation, complete coverage, stability, interpretability, computational feasibility, and cross-context transferability.</w:t>
      </w:r>
    </w:p>
    <w:p>
      <w:pPr>
        <w:pStyle w:val="Heading1"/>
      </w:pPr>
      <w:r>
        <w:t>2. Compared Models</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trPr>
        <w:tc>
          <w:tcPr>
            <w:tcW w:type="dxa" w:w="2448"/>
            <w:shd w:fill="D9EAF7"/>
            <w:vAlign w:val="center"/>
            <w:tcMar>
              <w:top w:w="60" w:type="dxa"/>
              <w:start w:w="70" w:type="dxa"/>
              <w:bottom w:w="60" w:type="dxa"/>
              <w:end w:w="70" w:type="dxa"/>
            </w:tcMar>
          </w:tcPr>
          <w:p>
            <w:pPr>
              <w:jc w:val="center"/>
            </w:pPr>
            <w:r>
              <w:rPr>
                <w:rFonts w:ascii="Arial" w:hAnsi="Arial"/>
                <w:b/>
                <w:color w:val="1F1F1F"/>
                <w:sz w:val="15"/>
              </w:rPr>
              <w:t>Model</w:t>
            </w:r>
          </w:p>
        </w:tc>
        <w:tc>
          <w:tcPr>
            <w:tcW w:type="dxa" w:w="2232"/>
            <w:shd w:fill="D9EAF7"/>
            <w:vAlign w:val="center"/>
            <w:tcMar>
              <w:top w:w="60" w:type="dxa"/>
              <w:start w:w="70" w:type="dxa"/>
              <w:bottom w:w="60" w:type="dxa"/>
              <w:end w:w="70" w:type="dxa"/>
            </w:tcMar>
          </w:tcPr>
          <w:p>
            <w:pPr>
              <w:jc w:val="center"/>
            </w:pPr>
            <w:r>
              <w:rPr>
                <w:rFonts w:ascii="Arial" w:hAnsi="Arial"/>
                <w:b/>
                <w:color w:val="1F1F1F"/>
                <w:sz w:val="15"/>
              </w:rPr>
              <w:t>Role</w:t>
            </w:r>
          </w:p>
        </w:tc>
        <w:tc>
          <w:tcPr>
            <w:tcW w:type="dxa" w:w="5544"/>
            <w:shd w:fill="D9EAF7"/>
            <w:vAlign w:val="center"/>
            <w:tcMar>
              <w:top w:w="60" w:type="dxa"/>
              <w:start w:w="70" w:type="dxa"/>
              <w:bottom w:w="60" w:type="dxa"/>
              <w:end w:w="70" w:type="dxa"/>
            </w:tcMar>
          </w:tcPr>
          <w:p>
            <w:pPr>
              <w:jc w:val="center"/>
            </w:pPr>
            <w:r>
              <w:rPr>
                <w:rFonts w:ascii="Arial" w:hAnsi="Arial"/>
                <w:b/>
                <w:color w:val="1F1F1F"/>
                <w:sz w:val="15"/>
              </w:rPr>
              <w:t>Reason selected</w:t>
            </w:r>
          </w:p>
        </w:tc>
      </w:tr>
      <w:tr>
        <w:tc>
          <w:tcPr>
            <w:tcW w:type="dxa" w:w="2448"/>
            <w:vAlign w:val="center"/>
            <w:tcMar>
              <w:top w:w="60" w:type="dxa"/>
              <w:start w:w="70" w:type="dxa"/>
              <w:bottom w:w="60" w:type="dxa"/>
              <w:end w:w="70" w:type="dxa"/>
            </w:tcMar>
          </w:tcPr>
          <w:p>
            <w:r>
              <w:rPr>
                <w:rFonts w:ascii="Arial" w:hAnsi="Arial"/>
                <w:sz w:val="15"/>
              </w:rPr>
              <w:t>K-Means k=4</w:t>
            </w:r>
          </w:p>
        </w:tc>
        <w:tc>
          <w:tcPr>
            <w:tcW w:type="dxa" w:w="2232"/>
            <w:vAlign w:val="center"/>
            <w:tcMar>
              <w:top w:w="60" w:type="dxa"/>
              <w:start w:w="70" w:type="dxa"/>
              <w:bottom w:w="60" w:type="dxa"/>
              <w:end w:w="70" w:type="dxa"/>
            </w:tcMar>
          </w:tcPr>
          <w:p>
            <w:r>
              <w:rPr>
                <w:rFonts w:ascii="Arial" w:hAnsi="Arial"/>
                <w:sz w:val="15"/>
              </w:rPr>
              <w:t>Baseline / primary candidate</w:t>
            </w:r>
          </w:p>
        </w:tc>
        <w:tc>
          <w:tcPr>
            <w:tcW w:type="dxa" w:w="5544"/>
            <w:vAlign w:val="center"/>
            <w:tcMar>
              <w:top w:w="60" w:type="dxa"/>
              <w:start w:w="70" w:type="dxa"/>
              <w:bottom w:w="60" w:type="dxa"/>
              <w:end w:w="70" w:type="dxa"/>
            </w:tcMar>
          </w:tcPr>
          <w:p>
            <w:r>
              <w:rPr>
                <w:rFonts w:ascii="Arial" w:hAnsi="Arial"/>
                <w:sz w:val="15"/>
              </w:rPr>
              <w:t>Full assignment, explicit centroids, interpretable profile summaries.</w:t>
            </w:r>
          </w:p>
        </w:tc>
      </w:tr>
      <w:tr>
        <w:tc>
          <w:tcPr>
            <w:tcW w:type="dxa" w:w="2448"/>
            <w:vAlign w:val="center"/>
            <w:tcMar>
              <w:top w:w="60" w:type="dxa"/>
              <w:start w:w="70" w:type="dxa"/>
              <w:bottom w:w="60" w:type="dxa"/>
              <w:end w:w="70" w:type="dxa"/>
            </w:tcMar>
          </w:tcPr>
          <w:p>
            <w:r>
              <w:rPr>
                <w:rFonts w:ascii="Arial" w:hAnsi="Arial"/>
                <w:sz w:val="15"/>
              </w:rPr>
              <w:t>MiniBatch K-Means k=4</w:t>
            </w:r>
          </w:p>
        </w:tc>
        <w:tc>
          <w:tcPr>
            <w:tcW w:type="dxa" w:w="2232"/>
            <w:vAlign w:val="center"/>
            <w:tcMar>
              <w:top w:w="60" w:type="dxa"/>
              <w:start w:w="70" w:type="dxa"/>
              <w:bottom w:w="60" w:type="dxa"/>
              <w:end w:w="70" w:type="dxa"/>
            </w:tcMar>
          </w:tcPr>
          <w:p>
            <w:r>
              <w:rPr>
                <w:rFonts w:ascii="Arial" w:hAnsi="Arial"/>
                <w:sz w:val="15"/>
              </w:rPr>
              <w:t>Scalability comparison</w:t>
            </w:r>
          </w:p>
        </w:tc>
        <w:tc>
          <w:tcPr>
            <w:tcW w:type="dxa" w:w="5544"/>
            <w:vAlign w:val="center"/>
            <w:tcMar>
              <w:top w:w="60" w:type="dxa"/>
              <w:start w:w="70" w:type="dxa"/>
              <w:bottom w:w="60" w:type="dxa"/>
              <w:end w:w="70" w:type="dxa"/>
            </w:tcMar>
          </w:tcPr>
          <w:p>
            <w:r>
              <w:rPr>
                <w:rFonts w:ascii="Arial" w:hAnsi="Arial"/>
                <w:sz w:val="15"/>
              </w:rPr>
              <w:t>Tests whether approximate centroid updates retain similar structure.</w:t>
            </w:r>
          </w:p>
        </w:tc>
      </w:tr>
      <w:tr>
        <w:tc>
          <w:tcPr>
            <w:tcW w:type="dxa" w:w="2448"/>
            <w:vAlign w:val="center"/>
            <w:tcMar>
              <w:top w:w="60" w:type="dxa"/>
              <w:start w:w="70" w:type="dxa"/>
              <w:bottom w:w="60" w:type="dxa"/>
              <w:end w:w="70" w:type="dxa"/>
            </w:tcMar>
          </w:tcPr>
          <w:p>
            <w:r>
              <w:rPr>
                <w:rFonts w:ascii="Arial" w:hAnsi="Arial"/>
                <w:sz w:val="15"/>
              </w:rPr>
              <w:t>Gaussian Mixture k=4</w:t>
            </w:r>
          </w:p>
        </w:tc>
        <w:tc>
          <w:tcPr>
            <w:tcW w:type="dxa" w:w="2232"/>
            <w:vAlign w:val="center"/>
            <w:tcMar>
              <w:top w:w="60" w:type="dxa"/>
              <w:start w:w="70" w:type="dxa"/>
              <w:bottom w:w="60" w:type="dxa"/>
              <w:end w:w="70" w:type="dxa"/>
            </w:tcMar>
          </w:tcPr>
          <w:p>
            <w:r>
              <w:rPr>
                <w:rFonts w:ascii="Arial" w:hAnsi="Arial"/>
                <w:sz w:val="15"/>
              </w:rPr>
              <w:t>Probabilistic comparison</w:t>
            </w:r>
          </w:p>
        </w:tc>
        <w:tc>
          <w:tcPr>
            <w:tcW w:type="dxa" w:w="5544"/>
            <w:vAlign w:val="center"/>
            <w:tcMar>
              <w:top w:w="60" w:type="dxa"/>
              <w:start w:w="70" w:type="dxa"/>
              <w:bottom w:w="60" w:type="dxa"/>
              <w:end w:w="70" w:type="dxa"/>
            </w:tcMar>
          </w:tcPr>
          <w:p>
            <w:r>
              <w:rPr>
                <w:rFonts w:ascii="Arial" w:hAnsi="Arial"/>
                <w:sz w:val="15"/>
              </w:rPr>
              <w:t>Allows different covariance structures and soft membership.</w:t>
            </w:r>
          </w:p>
        </w:tc>
      </w:tr>
      <w:tr>
        <w:tc>
          <w:tcPr>
            <w:tcW w:type="dxa" w:w="2448"/>
            <w:vAlign w:val="center"/>
            <w:tcMar>
              <w:top w:w="60" w:type="dxa"/>
              <w:start w:w="70" w:type="dxa"/>
              <w:bottom w:w="60" w:type="dxa"/>
              <w:end w:w="70" w:type="dxa"/>
            </w:tcMar>
          </w:tcPr>
          <w:p>
            <w:r>
              <w:rPr>
                <w:rFonts w:ascii="Arial" w:hAnsi="Arial"/>
                <w:sz w:val="15"/>
              </w:rPr>
              <w:t>Agglomerative k=4</w:t>
            </w:r>
          </w:p>
        </w:tc>
        <w:tc>
          <w:tcPr>
            <w:tcW w:type="dxa" w:w="2232"/>
            <w:vAlign w:val="center"/>
            <w:tcMar>
              <w:top w:w="60" w:type="dxa"/>
              <w:start w:w="70" w:type="dxa"/>
              <w:bottom w:w="60" w:type="dxa"/>
              <w:end w:w="70" w:type="dxa"/>
            </w:tcMar>
          </w:tcPr>
          <w:p>
            <w:r>
              <w:rPr>
                <w:rFonts w:ascii="Arial" w:hAnsi="Arial"/>
                <w:sz w:val="15"/>
              </w:rPr>
              <w:t>Hierarchical sample benchmark</w:t>
            </w:r>
          </w:p>
        </w:tc>
        <w:tc>
          <w:tcPr>
            <w:tcW w:type="dxa" w:w="5544"/>
            <w:vAlign w:val="center"/>
            <w:tcMar>
              <w:top w:w="60" w:type="dxa"/>
              <w:start w:w="70" w:type="dxa"/>
              <w:bottom w:w="60" w:type="dxa"/>
              <w:end w:w="70" w:type="dxa"/>
            </w:tcMar>
          </w:tcPr>
          <w:p>
            <w:r>
              <w:rPr>
                <w:rFonts w:ascii="Arial" w:hAnsi="Arial"/>
                <w:sz w:val="15"/>
              </w:rPr>
              <w:t>Tests a non-centroid hierarchy; full Ward fit is memory-intensive.</w:t>
            </w:r>
          </w:p>
        </w:tc>
      </w:tr>
      <w:tr>
        <w:tc>
          <w:tcPr>
            <w:tcW w:type="dxa" w:w="2448"/>
            <w:vAlign w:val="center"/>
            <w:tcMar>
              <w:top w:w="60" w:type="dxa"/>
              <w:start w:w="70" w:type="dxa"/>
              <w:bottom w:w="60" w:type="dxa"/>
              <w:end w:w="70" w:type="dxa"/>
            </w:tcMar>
          </w:tcPr>
          <w:p>
            <w:r>
              <w:rPr>
                <w:rFonts w:ascii="Arial" w:hAnsi="Arial"/>
                <w:sz w:val="15"/>
              </w:rPr>
              <w:t>DBSCAN</w:t>
            </w:r>
          </w:p>
        </w:tc>
        <w:tc>
          <w:tcPr>
            <w:tcW w:type="dxa" w:w="2232"/>
            <w:vAlign w:val="center"/>
            <w:tcMar>
              <w:top w:w="60" w:type="dxa"/>
              <w:start w:w="70" w:type="dxa"/>
              <w:bottom w:w="60" w:type="dxa"/>
              <w:end w:w="70" w:type="dxa"/>
            </w:tcMar>
          </w:tcPr>
          <w:p>
            <w:r>
              <w:rPr>
                <w:rFonts w:ascii="Arial" w:hAnsi="Arial"/>
                <w:sz w:val="15"/>
              </w:rPr>
              <w:t>Density sample benchmark</w:t>
            </w:r>
          </w:p>
        </w:tc>
        <w:tc>
          <w:tcPr>
            <w:tcW w:type="dxa" w:w="5544"/>
            <w:vAlign w:val="center"/>
            <w:tcMar>
              <w:top w:w="60" w:type="dxa"/>
              <w:start w:w="70" w:type="dxa"/>
              <w:bottom w:w="60" w:type="dxa"/>
              <w:end w:w="70" w:type="dxa"/>
            </w:tcMar>
          </w:tcPr>
          <w:p>
            <w:r>
              <w:rPr>
                <w:rFonts w:ascii="Arial" w:hAnsi="Arial"/>
                <w:sz w:val="15"/>
              </w:rPr>
              <w:t>Detects dense regions and noise without predefined cluster count.</w:t>
            </w:r>
          </w:p>
        </w:tc>
      </w:tr>
      <w:tr>
        <w:tc>
          <w:tcPr>
            <w:tcW w:type="dxa" w:w="2448"/>
            <w:vAlign w:val="center"/>
            <w:tcMar>
              <w:top w:w="60" w:type="dxa"/>
              <w:start w:w="70" w:type="dxa"/>
              <w:bottom w:w="60" w:type="dxa"/>
              <w:end w:w="70" w:type="dxa"/>
            </w:tcMar>
          </w:tcPr>
          <w:p>
            <w:r>
              <w:rPr>
                <w:rFonts w:ascii="Arial" w:hAnsi="Arial"/>
                <w:sz w:val="15"/>
              </w:rPr>
              <w:t>HDBSCAN</w:t>
            </w:r>
          </w:p>
        </w:tc>
        <w:tc>
          <w:tcPr>
            <w:tcW w:type="dxa" w:w="2232"/>
            <w:vAlign w:val="center"/>
            <w:tcMar>
              <w:top w:w="60" w:type="dxa"/>
              <w:start w:w="70" w:type="dxa"/>
              <w:bottom w:w="60" w:type="dxa"/>
              <w:end w:w="70" w:type="dxa"/>
            </w:tcMar>
          </w:tcPr>
          <w:p>
            <w:r>
              <w:rPr>
                <w:rFonts w:ascii="Arial" w:hAnsi="Arial"/>
                <w:sz w:val="15"/>
              </w:rPr>
              <w:t>Variable-density sample benchmark</w:t>
            </w:r>
          </w:p>
        </w:tc>
        <w:tc>
          <w:tcPr>
            <w:tcW w:type="dxa" w:w="5544"/>
            <w:vAlign w:val="center"/>
            <w:tcMar>
              <w:top w:w="60" w:type="dxa"/>
              <w:start w:w="70" w:type="dxa"/>
              <w:bottom w:w="60" w:type="dxa"/>
              <w:end w:w="70" w:type="dxa"/>
            </w:tcMar>
          </w:tcPr>
          <w:p>
            <w:r>
              <w:rPr>
                <w:rFonts w:ascii="Arial" w:hAnsi="Arial"/>
                <w:sz w:val="15"/>
              </w:rPr>
              <w:t>Tests broader density structure and variable noise.</w:t>
            </w:r>
          </w:p>
        </w:tc>
      </w:tr>
    </w:tbl>
    <w:p>
      <w:pPr>
        <w:spacing w:after="0"/>
      </w:pPr>
    </w:p>
    <w:tbl>
      <w:tblPr>
        <w:tblW w:type="auto" w:w="0"/>
        <w:jc w:val="center"/>
        <w:tblLayout w:type="autofit"/>
        <w:tblLook w:firstColumn="1" w:firstRow="1" w:lastColumn="0" w:lastRow="0" w:noHBand="0" w:noVBand="1" w:val="04A0"/>
      </w:tblPr>
      <w:tblGrid>
        <w:gridCol w:w="10570"/>
      </w:tblGrid>
      <w:tr>
        <w:tc>
          <w:tcPr>
            <w:tcW w:type="dxa" w:w="10570"/>
            <w:shd w:fill="F2F2F2"/>
            <w:tcMar>
              <w:top w:w="80" w:type="dxa"/>
              <w:start w:w="100" w:type="dxa"/>
              <w:bottom w:w="80" w:type="dxa"/>
              <w:end w:w="100" w:type="dxa"/>
            </w:tcMar>
          </w:tcPr>
          <w:p>
            <w:r>
              <w:rPr>
                <w:rFonts w:ascii="Arial" w:hAnsi="Arial"/>
                <w:b/>
                <w:color w:val="1F4E78"/>
                <w:sz w:val="19"/>
              </w:rPr>
              <w:t>Fairness note</w:t>
              <w:br/>
            </w:r>
            <w:r>
              <w:rPr>
                <w:rFonts w:ascii="Arial" w:hAnsi="Arial"/>
                <w:sz w:val="18"/>
              </w:rPr>
              <w:t>K-Means, MiniBatch K-Means, and GMM were fitted on all 19,948 trajectories. Agglomerative and density models were explicitly reported as city-stratified sample benchmarks because of memory/neighborhood scaling; their metrics are not treated as directly equivalent full-data results.</w:t>
            </w:r>
          </w:p>
        </w:tc>
      </w:tr>
    </w:tbl>
    <w:p>
      <w:r>
        <w:br w:type="page"/>
      </w:r>
    </w:p>
    <w:p>
      <w:pPr>
        <w:pStyle w:val="Heading1"/>
      </w:pPr>
      <w:r>
        <w:t>3. Experimental Design</w:t>
      </w:r>
    </w:p>
    <w:tbl>
      <w:tblPr>
        <w:tblStyle w:val="TableGrid"/>
        <w:tblW w:type="auto" w:w="0"/>
        <w:jc w:val="center"/>
        <w:tblLayout w:type="autofit"/>
        <w:tblLook w:firstColumn="1" w:firstRow="1" w:lastColumn="0" w:lastRow="0" w:noHBand="0" w:noVBand="1" w:val="04A0"/>
      </w:tblPr>
      <w:tblGrid>
        <w:gridCol w:w="5285"/>
        <w:gridCol w:w="5285"/>
      </w:tblGrid>
      <w:tr>
        <w:trPr>
          <w:tblHeader w:val="true"/>
        </w:trPr>
        <w:tc>
          <w:tcPr>
            <w:tcW w:type="dxa" w:w="2448"/>
            <w:shd w:fill="D9EAF7"/>
            <w:vAlign w:val="center"/>
            <w:tcMar>
              <w:top w:w="60" w:type="dxa"/>
              <w:start w:w="70" w:type="dxa"/>
              <w:bottom w:w="60" w:type="dxa"/>
              <w:end w:w="70" w:type="dxa"/>
            </w:tcMar>
          </w:tcPr>
          <w:p>
            <w:pPr>
              <w:jc w:val="center"/>
            </w:pPr>
            <w:r>
              <w:rPr>
                <w:rFonts w:ascii="Arial" w:hAnsi="Arial"/>
                <w:b/>
                <w:color w:val="1F1F1F"/>
                <w:sz w:val="16"/>
              </w:rPr>
              <w:t>Content</w:t>
            </w:r>
          </w:p>
        </w:tc>
        <w:tc>
          <w:tcPr>
            <w:tcW w:type="dxa" w:w="7776"/>
            <w:shd w:fill="D9EAF7"/>
            <w:vAlign w:val="center"/>
            <w:tcMar>
              <w:top w:w="60" w:type="dxa"/>
              <w:start w:w="70" w:type="dxa"/>
              <w:bottom w:w="60" w:type="dxa"/>
              <w:end w:w="70" w:type="dxa"/>
            </w:tcMar>
          </w:tcPr>
          <w:p>
            <w:pPr>
              <w:jc w:val="center"/>
            </w:pPr>
            <w:r>
              <w:rPr>
                <w:rFonts w:ascii="Arial" w:hAnsi="Arial"/>
                <w:b/>
                <w:color w:val="1F1F1F"/>
                <w:sz w:val="16"/>
              </w:rPr>
              <w:t>Description</w:t>
            </w:r>
          </w:p>
        </w:tc>
      </w:tr>
      <w:tr>
        <w:tc>
          <w:tcPr>
            <w:tcW w:type="dxa" w:w="2448"/>
            <w:vAlign w:val="center"/>
            <w:tcMar>
              <w:top w:w="60" w:type="dxa"/>
              <w:start w:w="70" w:type="dxa"/>
              <w:bottom w:w="60" w:type="dxa"/>
              <w:end w:w="70" w:type="dxa"/>
            </w:tcMar>
          </w:tcPr>
          <w:p>
            <w:r>
              <w:rPr>
                <w:rFonts w:ascii="Arial" w:hAnsi="Arial"/>
                <w:sz w:val="16"/>
              </w:rPr>
              <w:t>Dataset version</w:t>
            </w:r>
          </w:p>
        </w:tc>
        <w:tc>
          <w:tcPr>
            <w:tcW w:type="dxa" w:w="7776"/>
            <w:vAlign w:val="center"/>
            <w:tcMar>
              <w:top w:w="60" w:type="dxa"/>
              <w:start w:w="70" w:type="dxa"/>
              <w:bottom w:w="60" w:type="dxa"/>
              <w:end w:w="70" w:type="dxa"/>
            </w:tcMar>
          </w:tcPr>
          <w:p>
            <w:r>
              <w:rPr>
                <w:rFonts w:ascii="Arial" w:hAnsi="Arial"/>
                <w:sz w:val="16"/>
              </w:rPr>
              <w:t>v2 full SinD multi-city, 19,948 eligible passenger-car trajectories</w:t>
            </w:r>
          </w:p>
        </w:tc>
      </w:tr>
      <w:tr>
        <w:tc>
          <w:tcPr>
            <w:tcW w:type="dxa" w:w="2448"/>
            <w:vAlign w:val="center"/>
            <w:tcMar>
              <w:top w:w="60" w:type="dxa"/>
              <w:start w:w="70" w:type="dxa"/>
              <w:bottom w:w="60" w:type="dxa"/>
              <w:end w:w="70" w:type="dxa"/>
            </w:tcMar>
          </w:tcPr>
          <w:p>
            <w:r>
              <w:rPr>
                <w:rFonts w:ascii="Arial" w:hAnsi="Arial"/>
                <w:sz w:val="16"/>
              </w:rPr>
              <w:t>Train/test split</w:t>
            </w:r>
          </w:p>
        </w:tc>
        <w:tc>
          <w:tcPr>
            <w:tcW w:type="dxa" w:w="7776"/>
            <w:vAlign w:val="center"/>
            <w:tcMar>
              <w:top w:w="60" w:type="dxa"/>
              <w:start w:w="70" w:type="dxa"/>
              <w:bottom w:w="60" w:type="dxa"/>
              <w:end w:w="70" w:type="dxa"/>
            </w:tcMar>
          </w:tcPr>
          <w:p>
            <w:r>
              <w:rPr>
                <w:rFonts w:ascii="Arial" w:hAnsi="Arial"/>
                <w:sz w:val="16"/>
              </w:rPr>
              <w:t>No random 80/20 split; complete-context validation used</w:t>
            </w:r>
          </w:p>
        </w:tc>
      </w:tr>
      <w:tr>
        <w:tc>
          <w:tcPr>
            <w:tcW w:type="dxa" w:w="2448"/>
            <w:vAlign w:val="center"/>
            <w:tcMar>
              <w:top w:w="60" w:type="dxa"/>
              <w:start w:w="70" w:type="dxa"/>
              <w:bottom w:w="60" w:type="dxa"/>
              <w:end w:w="70" w:type="dxa"/>
            </w:tcMar>
          </w:tcPr>
          <w:p>
            <w:r>
              <w:rPr>
                <w:rFonts w:ascii="Arial" w:hAnsi="Arial"/>
                <w:sz w:val="16"/>
              </w:rPr>
              <w:t>Cross-validation</w:t>
            </w:r>
          </w:p>
        </w:tc>
        <w:tc>
          <w:tcPr>
            <w:tcW w:type="dxa" w:w="7776"/>
            <w:vAlign w:val="center"/>
            <w:tcMar>
              <w:top w:w="60" w:type="dxa"/>
              <w:start w:w="70" w:type="dxa"/>
              <w:bottom w:w="60" w:type="dxa"/>
              <w:end w:w="70" w:type="dxa"/>
            </w:tcMar>
          </w:tcPr>
          <w:p>
            <w:r>
              <w:rPr>
                <w:rFonts w:ascii="Arial" w:hAnsi="Arial"/>
                <w:sz w:val="16"/>
              </w:rPr>
              <w:t>Leave-one-city-out (4 splits) and leave-one-recording-out (56 splits)</w:t>
            </w:r>
          </w:p>
        </w:tc>
      </w:tr>
      <w:tr>
        <w:tc>
          <w:tcPr>
            <w:tcW w:type="dxa" w:w="2448"/>
            <w:vAlign w:val="center"/>
            <w:tcMar>
              <w:top w:w="60" w:type="dxa"/>
              <w:start w:w="70" w:type="dxa"/>
              <w:bottom w:w="60" w:type="dxa"/>
              <w:end w:w="70" w:type="dxa"/>
            </w:tcMar>
          </w:tcPr>
          <w:p>
            <w:r>
              <w:rPr>
                <w:rFonts w:ascii="Arial" w:hAnsi="Arial"/>
                <w:sz w:val="16"/>
              </w:rPr>
              <w:t>Bootstrap</w:t>
            </w:r>
          </w:p>
        </w:tc>
        <w:tc>
          <w:tcPr>
            <w:tcW w:type="dxa" w:w="7776"/>
            <w:vAlign w:val="center"/>
            <w:tcMar>
              <w:top w:w="60" w:type="dxa"/>
              <w:start w:w="70" w:type="dxa"/>
              <w:bottom w:w="60" w:type="dxa"/>
              <w:end w:w="70" w:type="dxa"/>
            </w:tcMar>
          </w:tcPr>
          <w:p>
            <w:r>
              <w:rPr>
                <w:rFonts w:ascii="Arial" w:hAnsi="Arial"/>
                <w:sz w:val="16"/>
              </w:rPr>
              <w:t>80% resampling with refit and full-data prediction</w:t>
            </w:r>
          </w:p>
        </w:tc>
      </w:tr>
      <w:tr>
        <w:tc>
          <w:tcPr>
            <w:tcW w:type="dxa" w:w="2448"/>
            <w:vAlign w:val="center"/>
            <w:tcMar>
              <w:top w:w="60" w:type="dxa"/>
              <w:start w:w="70" w:type="dxa"/>
              <w:bottom w:w="60" w:type="dxa"/>
              <w:end w:w="70" w:type="dxa"/>
            </w:tcMar>
          </w:tcPr>
          <w:p>
            <w:r>
              <w:rPr>
                <w:rFonts w:ascii="Arial" w:hAnsi="Arial"/>
                <w:sz w:val="16"/>
              </w:rPr>
              <w:t>Random seed</w:t>
            </w:r>
          </w:p>
        </w:tc>
        <w:tc>
          <w:tcPr>
            <w:tcW w:type="dxa" w:w="7776"/>
            <w:vAlign w:val="center"/>
            <w:tcMar>
              <w:top w:w="60" w:type="dxa"/>
              <w:start w:w="70" w:type="dxa"/>
              <w:bottom w:w="60" w:type="dxa"/>
              <w:end w:w="70" w:type="dxa"/>
            </w:tcMar>
          </w:tcPr>
          <w:p>
            <w:r>
              <w:rPr>
                <w:rFonts w:ascii="Arial" w:hAnsi="Arial"/>
                <w:sz w:val="16"/>
              </w:rPr>
              <w:t>42 for reference models; repeated seeds for stability</w:t>
            </w:r>
          </w:p>
        </w:tc>
      </w:tr>
      <w:tr>
        <w:tc>
          <w:tcPr>
            <w:tcW w:type="dxa" w:w="2448"/>
            <w:vAlign w:val="center"/>
            <w:tcMar>
              <w:top w:w="60" w:type="dxa"/>
              <w:start w:w="70" w:type="dxa"/>
              <w:bottom w:w="60" w:type="dxa"/>
              <w:end w:w="70" w:type="dxa"/>
            </w:tcMar>
          </w:tcPr>
          <w:p>
            <w:r>
              <w:rPr>
                <w:rFonts w:ascii="Arial" w:hAnsi="Arial"/>
                <w:sz w:val="16"/>
              </w:rPr>
              <w:t>Input</w:t>
            </w:r>
          </w:p>
        </w:tc>
        <w:tc>
          <w:tcPr>
            <w:tcW w:type="dxa" w:w="7776"/>
            <w:vAlign w:val="center"/>
            <w:tcMar>
              <w:top w:w="60" w:type="dxa"/>
              <w:start w:w="70" w:type="dxa"/>
              <w:bottom w:w="60" w:type="dxa"/>
              <w:end w:w="70" w:type="dxa"/>
            </w:tcMar>
          </w:tcPr>
          <w:p>
            <w:r>
              <w:rPr>
                <w:rFonts w:ascii="Arial" w:hAnsi="Arial"/>
                <w:sz w:val="16"/>
              </w:rPr>
              <w:t>5 PCA components from 10 behavior features; 91.71% retained variance</w:t>
            </w:r>
          </w:p>
        </w:tc>
      </w:tr>
      <w:tr>
        <w:tc>
          <w:tcPr>
            <w:tcW w:type="dxa" w:w="2448"/>
            <w:vAlign w:val="center"/>
            <w:tcMar>
              <w:top w:w="60" w:type="dxa"/>
              <w:start w:w="70" w:type="dxa"/>
              <w:bottom w:w="60" w:type="dxa"/>
              <w:end w:w="70" w:type="dxa"/>
            </w:tcMar>
          </w:tcPr>
          <w:p>
            <w:r>
              <w:rPr>
                <w:rFonts w:ascii="Arial" w:hAnsi="Arial"/>
                <w:sz w:val="16"/>
              </w:rPr>
              <w:t>Metrics</w:t>
            </w:r>
          </w:p>
        </w:tc>
        <w:tc>
          <w:tcPr>
            <w:tcW w:type="dxa" w:w="7776"/>
            <w:vAlign w:val="center"/>
            <w:tcMar>
              <w:top w:w="60" w:type="dxa"/>
              <w:start w:w="70" w:type="dxa"/>
              <w:bottom w:w="60" w:type="dxa"/>
              <w:end w:w="70" w:type="dxa"/>
            </w:tcMar>
          </w:tcPr>
          <w:p>
            <w:r>
              <w:rPr>
                <w:rFonts w:ascii="Arial" w:hAnsi="Arial"/>
                <w:sz w:val="16"/>
              </w:rPr>
              <w:t>Silhouette, Davies–Bouldin, Calinski–Harabasz, coverage/noise, balance, ARI, profile semantics</w:t>
            </w:r>
          </w:p>
        </w:tc>
      </w:tr>
      <w:tr>
        <w:tc>
          <w:tcPr>
            <w:tcW w:type="dxa" w:w="2448"/>
            <w:vAlign w:val="center"/>
            <w:tcMar>
              <w:top w:w="60" w:type="dxa"/>
              <w:start w:w="70" w:type="dxa"/>
              <w:bottom w:w="60" w:type="dxa"/>
              <w:end w:w="70" w:type="dxa"/>
            </w:tcMar>
          </w:tcPr>
          <w:p>
            <w:r>
              <w:rPr>
                <w:rFonts w:ascii="Arial" w:hAnsi="Arial"/>
                <w:sz w:val="16"/>
              </w:rPr>
              <w:t>Tools</w:t>
            </w:r>
          </w:p>
        </w:tc>
        <w:tc>
          <w:tcPr>
            <w:tcW w:type="dxa" w:w="7776"/>
            <w:vAlign w:val="center"/>
            <w:tcMar>
              <w:top w:w="60" w:type="dxa"/>
              <w:start w:w="70" w:type="dxa"/>
              <w:bottom w:w="60" w:type="dxa"/>
              <w:end w:w="70" w:type="dxa"/>
            </w:tcMar>
          </w:tcPr>
          <w:p>
            <w:r>
              <w:rPr>
                <w:rFonts w:ascii="Arial" w:hAnsi="Arial"/>
                <w:sz w:val="16"/>
              </w:rPr>
              <w:t>Python, pandas, SciPy, scikit-learn, Matplotlib, Jupyter</w:t>
            </w:r>
          </w:p>
        </w:tc>
      </w:tr>
    </w:tbl>
    <w:p>
      <w:pPr>
        <w:spacing w:after="0"/>
      </w:pPr>
    </w:p>
    <w:p>
      <w:pPr>
        <w:pStyle w:val="Heading2"/>
      </w:pPr>
      <w:r>
        <w:t>Evaluation Principles</w:t>
      </w:r>
    </w:p>
    <w:p>
      <w:pPr>
        <w:pStyle w:val="ListBullet"/>
        <w:ind w:left="259" w:hanging="173"/>
      </w:pPr>
      <w:r>
        <w:rPr>
          <w:rFonts w:ascii="Arial" w:hAnsi="Arial"/>
          <w:sz w:val="17"/>
        </w:rPr>
        <w:t>A density model cannot be preferred solely because it removes difficult observations and reports higher non-noise metrics.</w:t>
      </w:r>
    </w:p>
    <w:p>
      <w:pPr>
        <w:pStyle w:val="ListBullet"/>
        <w:ind w:left="259" w:hanging="173"/>
      </w:pPr>
      <w:r>
        <w:rPr>
          <w:rFonts w:ascii="Arial" w:hAnsi="Arial"/>
          <w:sz w:val="17"/>
        </w:rPr>
        <w:t>Higher Silhouette is valuable but must be weighed against coverage, cluster granularity, and resampling stability.</w:t>
      </w:r>
    </w:p>
    <w:p>
      <w:pPr>
        <w:pStyle w:val="ListBullet"/>
        <w:ind w:left="259" w:hanging="173"/>
      </w:pPr>
      <w:r>
        <w:rPr>
          <w:rFonts w:ascii="Arial" w:hAnsi="Arial"/>
          <w:sz w:val="17"/>
        </w:rPr>
        <w:t>Cluster IDs are arbitrary; ARI and training-only Hungarian alignment are used for reproducibility checks.</w:t>
      </w:r>
    </w:p>
    <w:p>
      <w:pPr>
        <w:pStyle w:val="ListBullet"/>
        <w:ind w:left="259" w:hanging="173"/>
      </w:pPr>
      <w:r>
        <w:rPr>
          <w:rFonts w:ascii="Arial" w:hAnsi="Arial"/>
          <w:sz w:val="17"/>
        </w:rPr>
        <w:t>Tianjin metadata is used after clustering and does not determine the model selection.</w:t>
      </w:r>
    </w:p>
    <w:p>
      <w:r>
        <w:br w:type="page"/>
      </w:r>
    </w:p>
    <w:p>
      <w:pPr>
        <w:pStyle w:val="Heading1"/>
      </w:pPr>
      <w:r>
        <w:t>4. Model Comparison Results</w:t>
      </w:r>
    </w:p>
    <w:tbl>
      <w:tblPr>
        <w:tblStyle w:val="TableGrid"/>
        <w:tblW w:type="auto" w:w="0"/>
        <w:jc w:val="center"/>
        <w:tblLayout w:type="autofit"/>
        <w:tblLook w:firstColumn="1" w:firstRow="1" w:lastColumn="0" w:lastRow="0" w:noHBand="0" w:noVBand="1" w:val="04A0"/>
      </w:tblPr>
      <w:tblGrid>
        <w:gridCol w:w="1510"/>
        <w:gridCol w:w="1510"/>
        <w:gridCol w:w="1510"/>
        <w:gridCol w:w="1510"/>
        <w:gridCol w:w="1510"/>
        <w:gridCol w:w="1510"/>
        <w:gridCol w:w="1510"/>
      </w:tblGrid>
      <w:tr>
        <w:trPr>
          <w:tblHeader w:val="true"/>
        </w:trPr>
        <w:tc>
          <w:tcPr>
            <w:tcW w:type="dxa" w:w="2088"/>
            <w:shd w:fill="D9EAF7"/>
            <w:vAlign w:val="center"/>
            <w:tcMar>
              <w:top w:w="60" w:type="dxa"/>
              <w:start w:w="70" w:type="dxa"/>
              <w:bottom w:w="60" w:type="dxa"/>
              <w:end w:w="70" w:type="dxa"/>
            </w:tcMar>
          </w:tcPr>
          <w:p>
            <w:pPr>
              <w:jc w:val="center"/>
            </w:pPr>
            <w:r>
              <w:rPr>
                <w:rFonts w:ascii="Arial" w:hAnsi="Arial"/>
                <w:b/>
                <w:color w:val="1F1F1F"/>
                <w:sz w:val="14"/>
              </w:rPr>
              <w:t>Model</w:t>
            </w:r>
          </w:p>
        </w:tc>
        <w:tc>
          <w:tcPr>
            <w:tcW w:type="dxa" w:w="936"/>
            <w:shd w:fill="D9EAF7"/>
            <w:vAlign w:val="center"/>
            <w:tcMar>
              <w:top w:w="60" w:type="dxa"/>
              <w:start w:w="70" w:type="dxa"/>
              <w:bottom w:w="60" w:type="dxa"/>
              <w:end w:w="70" w:type="dxa"/>
            </w:tcMar>
          </w:tcPr>
          <w:p>
            <w:pPr>
              <w:jc w:val="center"/>
            </w:pPr>
            <w:r>
              <w:rPr>
                <w:rFonts w:ascii="Arial" w:hAnsi="Arial"/>
                <w:b/>
                <w:color w:val="1F1F1F"/>
                <w:sz w:val="14"/>
              </w:rPr>
              <w:t>Clusters</w:t>
            </w:r>
          </w:p>
        </w:tc>
        <w:tc>
          <w:tcPr>
            <w:tcW w:type="dxa" w:w="1152"/>
            <w:shd w:fill="D9EAF7"/>
            <w:vAlign w:val="center"/>
            <w:tcMar>
              <w:top w:w="60" w:type="dxa"/>
              <w:start w:w="70" w:type="dxa"/>
              <w:bottom w:w="60" w:type="dxa"/>
              <w:end w:w="70" w:type="dxa"/>
            </w:tcMar>
          </w:tcPr>
          <w:p>
            <w:pPr>
              <w:jc w:val="center"/>
            </w:pPr>
            <w:r>
              <w:rPr>
                <w:rFonts w:ascii="Arial" w:hAnsi="Arial"/>
                <w:b/>
                <w:color w:val="1F1F1F"/>
                <w:sz w:val="14"/>
              </w:rPr>
              <w:t>Coverage</w:t>
            </w:r>
          </w:p>
        </w:tc>
        <w:tc>
          <w:tcPr>
            <w:tcW w:type="dxa" w:w="1008"/>
            <w:shd w:fill="D9EAF7"/>
            <w:vAlign w:val="center"/>
            <w:tcMar>
              <w:top w:w="60" w:type="dxa"/>
              <w:start w:w="70" w:type="dxa"/>
              <w:bottom w:w="60" w:type="dxa"/>
              <w:end w:w="70" w:type="dxa"/>
            </w:tcMar>
          </w:tcPr>
          <w:p>
            <w:pPr>
              <w:jc w:val="center"/>
            </w:pPr>
            <w:r>
              <w:rPr>
                <w:rFonts w:ascii="Arial" w:hAnsi="Arial"/>
                <w:b/>
                <w:color w:val="1F1F1F"/>
                <w:sz w:val="14"/>
              </w:rPr>
              <w:t>Noise</w:t>
            </w:r>
          </w:p>
        </w:tc>
        <w:tc>
          <w:tcPr>
            <w:tcW w:type="dxa" w:w="1296"/>
            <w:shd w:fill="D9EAF7"/>
            <w:vAlign w:val="center"/>
            <w:tcMar>
              <w:top w:w="60" w:type="dxa"/>
              <w:start w:w="70" w:type="dxa"/>
              <w:bottom w:w="60" w:type="dxa"/>
              <w:end w:w="70" w:type="dxa"/>
            </w:tcMar>
          </w:tcPr>
          <w:p>
            <w:pPr>
              <w:jc w:val="center"/>
            </w:pPr>
            <w:r>
              <w:rPr>
                <w:rFonts w:ascii="Arial" w:hAnsi="Arial"/>
                <w:b/>
                <w:color w:val="1F1F1F"/>
                <w:sz w:val="14"/>
              </w:rPr>
              <w:t>Silhouette</w:t>
            </w:r>
          </w:p>
        </w:tc>
        <w:tc>
          <w:tcPr>
            <w:tcW w:type="dxa" w:w="1224"/>
            <w:shd w:fill="D9EAF7"/>
            <w:vAlign w:val="center"/>
            <w:tcMar>
              <w:top w:w="60" w:type="dxa"/>
              <w:start w:w="70" w:type="dxa"/>
              <w:bottom w:w="60" w:type="dxa"/>
              <w:end w:w="70" w:type="dxa"/>
            </w:tcMar>
          </w:tcPr>
          <w:p>
            <w:pPr>
              <w:jc w:val="center"/>
            </w:pPr>
            <w:r>
              <w:rPr>
                <w:rFonts w:ascii="Arial" w:hAnsi="Arial"/>
                <w:b/>
                <w:color w:val="1F1F1F"/>
                <w:sz w:val="14"/>
              </w:rPr>
              <w:t>DBI</w:t>
            </w:r>
          </w:p>
        </w:tc>
        <w:tc>
          <w:tcPr>
            <w:tcW w:type="dxa" w:w="1656"/>
            <w:shd w:fill="D9EAF7"/>
            <w:vAlign w:val="center"/>
            <w:tcMar>
              <w:top w:w="60" w:type="dxa"/>
              <w:start w:w="70" w:type="dxa"/>
              <w:bottom w:w="60" w:type="dxa"/>
              <w:end w:w="70" w:type="dxa"/>
            </w:tcMar>
          </w:tcPr>
          <w:p>
            <w:pPr>
              <w:jc w:val="center"/>
            </w:pPr>
            <w:r>
              <w:rPr>
                <w:rFonts w:ascii="Arial" w:hAnsi="Arial"/>
                <w:b/>
                <w:color w:val="1F1F1F"/>
                <w:sz w:val="14"/>
              </w:rPr>
              <w:t>Scope</w:t>
            </w:r>
          </w:p>
        </w:tc>
      </w:tr>
      <w:tr>
        <w:tc>
          <w:tcPr>
            <w:tcW w:type="dxa" w:w="2088"/>
            <w:vAlign w:val="center"/>
            <w:tcMar>
              <w:top w:w="60" w:type="dxa"/>
              <w:start w:w="70" w:type="dxa"/>
              <w:bottom w:w="60" w:type="dxa"/>
              <w:end w:w="70" w:type="dxa"/>
            </w:tcMar>
          </w:tcPr>
          <w:p>
            <w:r>
              <w:rPr>
                <w:rFonts w:ascii="Arial" w:hAnsi="Arial"/>
                <w:sz w:val="14"/>
              </w:rPr>
              <w:t>K-Means k=4</w:t>
            </w:r>
          </w:p>
        </w:tc>
        <w:tc>
          <w:tcPr>
            <w:tcW w:type="dxa" w:w="936"/>
            <w:vAlign w:val="center"/>
            <w:tcMar>
              <w:top w:w="60" w:type="dxa"/>
              <w:start w:w="70" w:type="dxa"/>
              <w:bottom w:w="60" w:type="dxa"/>
              <w:end w:w="70" w:type="dxa"/>
            </w:tcMar>
          </w:tcPr>
          <w:p>
            <w:r>
              <w:rPr>
                <w:rFonts w:ascii="Arial" w:hAnsi="Arial"/>
                <w:sz w:val="14"/>
              </w:rPr>
              <w:t>4</w:t>
            </w:r>
          </w:p>
        </w:tc>
        <w:tc>
          <w:tcPr>
            <w:tcW w:type="dxa" w:w="1152"/>
            <w:vAlign w:val="center"/>
            <w:tcMar>
              <w:top w:w="60" w:type="dxa"/>
              <w:start w:w="70" w:type="dxa"/>
              <w:bottom w:w="60" w:type="dxa"/>
              <w:end w:w="70" w:type="dxa"/>
            </w:tcMar>
          </w:tcPr>
          <w:p>
            <w:r>
              <w:rPr>
                <w:rFonts w:ascii="Arial" w:hAnsi="Arial"/>
                <w:sz w:val="14"/>
              </w:rPr>
              <w:t>100.0%</w:t>
            </w:r>
          </w:p>
        </w:tc>
        <w:tc>
          <w:tcPr>
            <w:tcW w:type="dxa" w:w="1008"/>
            <w:vAlign w:val="center"/>
            <w:tcMar>
              <w:top w:w="60" w:type="dxa"/>
              <w:start w:w="70" w:type="dxa"/>
              <w:bottom w:w="60" w:type="dxa"/>
              <w:end w:w="70" w:type="dxa"/>
            </w:tcMar>
          </w:tcPr>
          <w:p>
            <w:r>
              <w:rPr>
                <w:rFonts w:ascii="Arial" w:hAnsi="Arial"/>
                <w:sz w:val="14"/>
              </w:rPr>
              <w:t>0.0%</w:t>
            </w:r>
          </w:p>
        </w:tc>
        <w:tc>
          <w:tcPr>
            <w:tcW w:type="dxa" w:w="1296"/>
            <w:vAlign w:val="center"/>
            <w:tcMar>
              <w:top w:w="60" w:type="dxa"/>
              <w:start w:w="70" w:type="dxa"/>
              <w:bottom w:w="60" w:type="dxa"/>
              <w:end w:w="70" w:type="dxa"/>
            </w:tcMar>
          </w:tcPr>
          <w:p>
            <w:r>
              <w:rPr>
                <w:rFonts w:ascii="Arial" w:hAnsi="Arial"/>
                <w:sz w:val="14"/>
              </w:rPr>
              <w:t>0.2862</w:t>
            </w:r>
          </w:p>
        </w:tc>
        <w:tc>
          <w:tcPr>
            <w:tcW w:type="dxa" w:w="1224"/>
            <w:vAlign w:val="center"/>
            <w:tcMar>
              <w:top w:w="60" w:type="dxa"/>
              <w:start w:w="70" w:type="dxa"/>
              <w:bottom w:w="60" w:type="dxa"/>
              <w:end w:w="70" w:type="dxa"/>
            </w:tcMar>
          </w:tcPr>
          <w:p>
            <w:r>
              <w:rPr>
                <w:rFonts w:ascii="Arial" w:hAnsi="Arial"/>
                <w:sz w:val="14"/>
              </w:rPr>
              <w:t>1.2762</w:t>
            </w:r>
          </w:p>
        </w:tc>
        <w:tc>
          <w:tcPr>
            <w:tcW w:type="dxa" w:w="1656"/>
            <w:vAlign w:val="center"/>
            <w:tcMar>
              <w:top w:w="60" w:type="dxa"/>
              <w:start w:w="70" w:type="dxa"/>
              <w:bottom w:w="60" w:type="dxa"/>
              <w:end w:w="70" w:type="dxa"/>
            </w:tcMar>
          </w:tcPr>
          <w:p>
            <w:r>
              <w:rPr>
                <w:rFonts w:ascii="Arial" w:hAnsi="Arial"/>
                <w:sz w:val="14"/>
              </w:rPr>
              <w:t>Full data</w:t>
            </w:r>
          </w:p>
        </w:tc>
      </w:tr>
      <w:tr>
        <w:tc>
          <w:tcPr>
            <w:tcW w:type="dxa" w:w="2088"/>
            <w:vAlign w:val="center"/>
            <w:tcMar>
              <w:top w:w="60" w:type="dxa"/>
              <w:start w:w="70" w:type="dxa"/>
              <w:bottom w:w="60" w:type="dxa"/>
              <w:end w:w="70" w:type="dxa"/>
            </w:tcMar>
          </w:tcPr>
          <w:p>
            <w:r>
              <w:rPr>
                <w:rFonts w:ascii="Arial" w:hAnsi="Arial"/>
                <w:sz w:val="14"/>
              </w:rPr>
              <w:t>MiniBatch k=4</w:t>
            </w:r>
          </w:p>
        </w:tc>
        <w:tc>
          <w:tcPr>
            <w:tcW w:type="dxa" w:w="936"/>
            <w:vAlign w:val="center"/>
            <w:tcMar>
              <w:top w:w="60" w:type="dxa"/>
              <w:start w:w="70" w:type="dxa"/>
              <w:bottom w:w="60" w:type="dxa"/>
              <w:end w:w="70" w:type="dxa"/>
            </w:tcMar>
          </w:tcPr>
          <w:p>
            <w:r>
              <w:rPr>
                <w:rFonts w:ascii="Arial" w:hAnsi="Arial"/>
                <w:sz w:val="14"/>
              </w:rPr>
              <w:t>4</w:t>
            </w:r>
          </w:p>
        </w:tc>
        <w:tc>
          <w:tcPr>
            <w:tcW w:type="dxa" w:w="1152"/>
            <w:vAlign w:val="center"/>
            <w:tcMar>
              <w:top w:w="60" w:type="dxa"/>
              <w:start w:w="70" w:type="dxa"/>
              <w:bottom w:w="60" w:type="dxa"/>
              <w:end w:w="70" w:type="dxa"/>
            </w:tcMar>
          </w:tcPr>
          <w:p>
            <w:r>
              <w:rPr>
                <w:rFonts w:ascii="Arial" w:hAnsi="Arial"/>
                <w:sz w:val="14"/>
              </w:rPr>
              <w:t>100.0%</w:t>
            </w:r>
          </w:p>
        </w:tc>
        <w:tc>
          <w:tcPr>
            <w:tcW w:type="dxa" w:w="1008"/>
            <w:vAlign w:val="center"/>
            <w:tcMar>
              <w:top w:w="60" w:type="dxa"/>
              <w:start w:w="70" w:type="dxa"/>
              <w:bottom w:w="60" w:type="dxa"/>
              <w:end w:w="70" w:type="dxa"/>
            </w:tcMar>
          </w:tcPr>
          <w:p>
            <w:r>
              <w:rPr>
                <w:rFonts w:ascii="Arial" w:hAnsi="Arial"/>
                <w:sz w:val="14"/>
              </w:rPr>
              <w:t>0.0%</w:t>
            </w:r>
          </w:p>
        </w:tc>
        <w:tc>
          <w:tcPr>
            <w:tcW w:type="dxa" w:w="1296"/>
            <w:vAlign w:val="center"/>
            <w:tcMar>
              <w:top w:w="60" w:type="dxa"/>
              <w:start w:w="70" w:type="dxa"/>
              <w:bottom w:w="60" w:type="dxa"/>
              <w:end w:w="70" w:type="dxa"/>
            </w:tcMar>
          </w:tcPr>
          <w:p>
            <w:r>
              <w:rPr>
                <w:rFonts w:ascii="Arial" w:hAnsi="Arial"/>
                <w:sz w:val="14"/>
              </w:rPr>
              <w:t>0.2777</w:t>
            </w:r>
          </w:p>
        </w:tc>
        <w:tc>
          <w:tcPr>
            <w:tcW w:type="dxa" w:w="1224"/>
            <w:vAlign w:val="center"/>
            <w:tcMar>
              <w:top w:w="60" w:type="dxa"/>
              <w:start w:w="70" w:type="dxa"/>
              <w:bottom w:w="60" w:type="dxa"/>
              <w:end w:w="70" w:type="dxa"/>
            </w:tcMar>
          </w:tcPr>
          <w:p>
            <w:r>
              <w:rPr>
                <w:rFonts w:ascii="Arial" w:hAnsi="Arial"/>
                <w:sz w:val="14"/>
              </w:rPr>
              <w:t>1.3064</w:t>
            </w:r>
          </w:p>
        </w:tc>
        <w:tc>
          <w:tcPr>
            <w:tcW w:type="dxa" w:w="1656"/>
            <w:vAlign w:val="center"/>
            <w:tcMar>
              <w:top w:w="60" w:type="dxa"/>
              <w:start w:w="70" w:type="dxa"/>
              <w:bottom w:w="60" w:type="dxa"/>
              <w:end w:w="70" w:type="dxa"/>
            </w:tcMar>
          </w:tcPr>
          <w:p>
            <w:r>
              <w:rPr>
                <w:rFonts w:ascii="Arial" w:hAnsi="Arial"/>
                <w:sz w:val="14"/>
              </w:rPr>
              <w:t>Full data</w:t>
            </w:r>
          </w:p>
        </w:tc>
      </w:tr>
      <w:tr>
        <w:tc>
          <w:tcPr>
            <w:tcW w:type="dxa" w:w="2088"/>
            <w:vAlign w:val="center"/>
            <w:tcMar>
              <w:top w:w="60" w:type="dxa"/>
              <w:start w:w="70" w:type="dxa"/>
              <w:bottom w:w="60" w:type="dxa"/>
              <w:end w:w="70" w:type="dxa"/>
            </w:tcMar>
          </w:tcPr>
          <w:p>
            <w:r>
              <w:rPr>
                <w:rFonts w:ascii="Arial" w:hAnsi="Arial"/>
                <w:sz w:val="14"/>
              </w:rPr>
              <w:t>GMM k=4</w:t>
            </w:r>
          </w:p>
        </w:tc>
        <w:tc>
          <w:tcPr>
            <w:tcW w:type="dxa" w:w="936"/>
            <w:vAlign w:val="center"/>
            <w:tcMar>
              <w:top w:w="60" w:type="dxa"/>
              <w:start w:w="70" w:type="dxa"/>
              <w:bottom w:w="60" w:type="dxa"/>
              <w:end w:w="70" w:type="dxa"/>
            </w:tcMar>
          </w:tcPr>
          <w:p>
            <w:r>
              <w:rPr>
                <w:rFonts w:ascii="Arial" w:hAnsi="Arial"/>
                <w:sz w:val="14"/>
              </w:rPr>
              <w:t>4</w:t>
            </w:r>
          </w:p>
        </w:tc>
        <w:tc>
          <w:tcPr>
            <w:tcW w:type="dxa" w:w="1152"/>
            <w:vAlign w:val="center"/>
            <w:tcMar>
              <w:top w:w="60" w:type="dxa"/>
              <w:start w:w="70" w:type="dxa"/>
              <w:bottom w:w="60" w:type="dxa"/>
              <w:end w:w="70" w:type="dxa"/>
            </w:tcMar>
          </w:tcPr>
          <w:p>
            <w:r>
              <w:rPr>
                <w:rFonts w:ascii="Arial" w:hAnsi="Arial"/>
                <w:sz w:val="14"/>
              </w:rPr>
              <w:t>100.0%</w:t>
            </w:r>
          </w:p>
        </w:tc>
        <w:tc>
          <w:tcPr>
            <w:tcW w:type="dxa" w:w="1008"/>
            <w:vAlign w:val="center"/>
            <w:tcMar>
              <w:top w:w="60" w:type="dxa"/>
              <w:start w:w="70" w:type="dxa"/>
              <w:bottom w:w="60" w:type="dxa"/>
              <w:end w:w="70" w:type="dxa"/>
            </w:tcMar>
          </w:tcPr>
          <w:p>
            <w:r>
              <w:rPr>
                <w:rFonts w:ascii="Arial" w:hAnsi="Arial"/>
                <w:sz w:val="14"/>
              </w:rPr>
              <w:t>0.0%</w:t>
            </w:r>
          </w:p>
        </w:tc>
        <w:tc>
          <w:tcPr>
            <w:tcW w:type="dxa" w:w="1296"/>
            <w:vAlign w:val="center"/>
            <w:tcMar>
              <w:top w:w="60" w:type="dxa"/>
              <w:start w:w="70" w:type="dxa"/>
              <w:bottom w:w="60" w:type="dxa"/>
              <w:end w:w="70" w:type="dxa"/>
            </w:tcMar>
          </w:tcPr>
          <w:p>
            <w:r>
              <w:rPr>
                <w:rFonts w:ascii="Arial" w:hAnsi="Arial"/>
                <w:sz w:val="14"/>
              </w:rPr>
              <w:t>0.2288</w:t>
            </w:r>
          </w:p>
        </w:tc>
        <w:tc>
          <w:tcPr>
            <w:tcW w:type="dxa" w:w="1224"/>
            <w:vAlign w:val="center"/>
            <w:tcMar>
              <w:top w:w="60" w:type="dxa"/>
              <w:start w:w="70" w:type="dxa"/>
              <w:bottom w:w="60" w:type="dxa"/>
              <w:end w:w="70" w:type="dxa"/>
            </w:tcMar>
          </w:tcPr>
          <w:p>
            <w:r>
              <w:rPr>
                <w:rFonts w:ascii="Arial" w:hAnsi="Arial"/>
                <w:sz w:val="14"/>
              </w:rPr>
              <w:t>1.6459</w:t>
            </w:r>
          </w:p>
        </w:tc>
        <w:tc>
          <w:tcPr>
            <w:tcW w:type="dxa" w:w="1656"/>
            <w:vAlign w:val="center"/>
            <w:tcMar>
              <w:top w:w="60" w:type="dxa"/>
              <w:start w:w="70" w:type="dxa"/>
              <w:bottom w:w="60" w:type="dxa"/>
              <w:end w:w="70" w:type="dxa"/>
            </w:tcMar>
          </w:tcPr>
          <w:p>
            <w:r>
              <w:rPr>
                <w:rFonts w:ascii="Arial" w:hAnsi="Arial"/>
                <w:sz w:val="14"/>
              </w:rPr>
              <w:t>Full data</w:t>
            </w:r>
          </w:p>
        </w:tc>
      </w:tr>
      <w:tr>
        <w:tc>
          <w:tcPr>
            <w:tcW w:type="dxa" w:w="2088"/>
            <w:vAlign w:val="center"/>
            <w:tcMar>
              <w:top w:w="60" w:type="dxa"/>
              <w:start w:w="70" w:type="dxa"/>
              <w:bottom w:w="60" w:type="dxa"/>
              <w:end w:w="70" w:type="dxa"/>
            </w:tcMar>
          </w:tcPr>
          <w:p>
            <w:r>
              <w:rPr>
                <w:rFonts w:ascii="Arial" w:hAnsi="Arial"/>
                <w:sz w:val="14"/>
              </w:rPr>
              <w:t>DBSCAN sample</w:t>
            </w:r>
          </w:p>
        </w:tc>
        <w:tc>
          <w:tcPr>
            <w:tcW w:type="dxa" w:w="936"/>
            <w:vAlign w:val="center"/>
            <w:tcMar>
              <w:top w:w="60" w:type="dxa"/>
              <w:start w:w="70" w:type="dxa"/>
              <w:bottom w:w="60" w:type="dxa"/>
              <w:end w:w="70" w:type="dxa"/>
            </w:tcMar>
          </w:tcPr>
          <w:p>
            <w:r>
              <w:rPr>
                <w:rFonts w:ascii="Arial" w:hAnsi="Arial"/>
                <w:sz w:val="14"/>
              </w:rPr>
              <w:t>2</w:t>
            </w:r>
          </w:p>
        </w:tc>
        <w:tc>
          <w:tcPr>
            <w:tcW w:type="dxa" w:w="1152"/>
            <w:vAlign w:val="center"/>
            <w:tcMar>
              <w:top w:w="60" w:type="dxa"/>
              <w:start w:w="70" w:type="dxa"/>
              <w:bottom w:w="60" w:type="dxa"/>
              <w:end w:w="70" w:type="dxa"/>
            </w:tcMar>
          </w:tcPr>
          <w:p>
            <w:r>
              <w:rPr>
                <w:rFonts w:ascii="Arial" w:hAnsi="Arial"/>
                <w:sz w:val="14"/>
              </w:rPr>
              <w:t>88.8%</w:t>
            </w:r>
          </w:p>
        </w:tc>
        <w:tc>
          <w:tcPr>
            <w:tcW w:type="dxa" w:w="1008"/>
            <w:vAlign w:val="center"/>
            <w:tcMar>
              <w:top w:w="60" w:type="dxa"/>
              <w:start w:w="70" w:type="dxa"/>
              <w:bottom w:w="60" w:type="dxa"/>
              <w:end w:w="70" w:type="dxa"/>
            </w:tcMar>
          </w:tcPr>
          <w:p>
            <w:r>
              <w:rPr>
                <w:rFonts w:ascii="Arial" w:hAnsi="Arial"/>
                <w:sz w:val="14"/>
              </w:rPr>
              <w:t>11.2%</w:t>
            </w:r>
          </w:p>
        </w:tc>
        <w:tc>
          <w:tcPr>
            <w:tcW w:type="dxa" w:w="1296"/>
            <w:vAlign w:val="center"/>
            <w:tcMar>
              <w:top w:w="60" w:type="dxa"/>
              <w:start w:w="70" w:type="dxa"/>
              <w:bottom w:w="60" w:type="dxa"/>
              <w:end w:w="70" w:type="dxa"/>
            </w:tcMar>
          </w:tcPr>
          <w:p>
            <w:r>
              <w:rPr>
                <w:rFonts w:ascii="Arial" w:hAnsi="Arial"/>
                <w:sz w:val="14"/>
              </w:rPr>
              <w:t>0.6461</w:t>
            </w:r>
          </w:p>
        </w:tc>
        <w:tc>
          <w:tcPr>
            <w:tcW w:type="dxa" w:w="1224"/>
            <w:vAlign w:val="center"/>
            <w:tcMar>
              <w:top w:w="60" w:type="dxa"/>
              <w:start w:w="70" w:type="dxa"/>
              <w:bottom w:w="60" w:type="dxa"/>
              <w:end w:w="70" w:type="dxa"/>
            </w:tcMar>
          </w:tcPr>
          <w:p>
            <w:r>
              <w:rPr>
                <w:rFonts w:ascii="Arial" w:hAnsi="Arial"/>
                <w:sz w:val="14"/>
              </w:rPr>
              <w:t>0.3428</w:t>
            </w:r>
          </w:p>
        </w:tc>
        <w:tc>
          <w:tcPr>
            <w:tcW w:type="dxa" w:w="1656"/>
            <w:vAlign w:val="center"/>
            <w:tcMar>
              <w:top w:w="60" w:type="dxa"/>
              <w:start w:w="70" w:type="dxa"/>
              <w:bottom w:w="60" w:type="dxa"/>
              <w:end w:w="70" w:type="dxa"/>
            </w:tcMar>
          </w:tcPr>
          <w:p>
            <w:r>
              <w:rPr>
                <w:rFonts w:ascii="Arial" w:hAnsi="Arial"/>
                <w:sz w:val="14"/>
              </w:rPr>
              <w:t>Sample benchmark</w:t>
            </w:r>
          </w:p>
        </w:tc>
      </w:tr>
      <w:tr>
        <w:tc>
          <w:tcPr>
            <w:tcW w:type="dxa" w:w="2088"/>
            <w:vAlign w:val="center"/>
            <w:tcMar>
              <w:top w:w="60" w:type="dxa"/>
              <w:start w:w="70" w:type="dxa"/>
              <w:bottom w:w="60" w:type="dxa"/>
              <w:end w:w="70" w:type="dxa"/>
            </w:tcMar>
          </w:tcPr>
          <w:p>
            <w:r>
              <w:rPr>
                <w:rFonts w:ascii="Arial" w:hAnsi="Arial"/>
                <w:sz w:val="14"/>
              </w:rPr>
              <w:t>HDBSCAN sample</w:t>
            </w:r>
          </w:p>
        </w:tc>
        <w:tc>
          <w:tcPr>
            <w:tcW w:type="dxa" w:w="936"/>
            <w:vAlign w:val="center"/>
            <w:tcMar>
              <w:top w:w="60" w:type="dxa"/>
              <w:start w:w="70" w:type="dxa"/>
              <w:bottom w:w="60" w:type="dxa"/>
              <w:end w:w="70" w:type="dxa"/>
            </w:tcMar>
          </w:tcPr>
          <w:p>
            <w:r>
              <w:rPr>
                <w:rFonts w:ascii="Arial" w:hAnsi="Arial"/>
                <w:sz w:val="14"/>
              </w:rPr>
              <w:t>2</w:t>
            </w:r>
          </w:p>
        </w:tc>
        <w:tc>
          <w:tcPr>
            <w:tcW w:type="dxa" w:w="1152"/>
            <w:vAlign w:val="center"/>
            <w:tcMar>
              <w:top w:w="60" w:type="dxa"/>
              <w:start w:w="70" w:type="dxa"/>
              <w:bottom w:w="60" w:type="dxa"/>
              <w:end w:w="70" w:type="dxa"/>
            </w:tcMar>
          </w:tcPr>
          <w:p>
            <w:r>
              <w:rPr>
                <w:rFonts w:ascii="Arial" w:hAnsi="Arial"/>
                <w:sz w:val="14"/>
              </w:rPr>
              <w:t>60.4%</w:t>
            </w:r>
          </w:p>
        </w:tc>
        <w:tc>
          <w:tcPr>
            <w:tcW w:type="dxa" w:w="1008"/>
            <w:vAlign w:val="center"/>
            <w:tcMar>
              <w:top w:w="60" w:type="dxa"/>
              <w:start w:w="70" w:type="dxa"/>
              <w:bottom w:w="60" w:type="dxa"/>
              <w:end w:w="70" w:type="dxa"/>
            </w:tcMar>
          </w:tcPr>
          <w:p>
            <w:r>
              <w:rPr>
                <w:rFonts w:ascii="Arial" w:hAnsi="Arial"/>
                <w:sz w:val="14"/>
              </w:rPr>
              <w:t>39.6%</w:t>
            </w:r>
          </w:p>
        </w:tc>
        <w:tc>
          <w:tcPr>
            <w:tcW w:type="dxa" w:w="1296"/>
            <w:vAlign w:val="center"/>
            <w:tcMar>
              <w:top w:w="60" w:type="dxa"/>
              <w:start w:w="70" w:type="dxa"/>
              <w:bottom w:w="60" w:type="dxa"/>
              <w:end w:w="70" w:type="dxa"/>
            </w:tcMar>
          </w:tcPr>
          <w:p>
            <w:r>
              <w:rPr>
                <w:rFonts w:ascii="Arial" w:hAnsi="Arial"/>
                <w:sz w:val="14"/>
              </w:rPr>
              <w:t>0.3845</w:t>
            </w:r>
          </w:p>
        </w:tc>
        <w:tc>
          <w:tcPr>
            <w:tcW w:type="dxa" w:w="1224"/>
            <w:vAlign w:val="center"/>
            <w:tcMar>
              <w:top w:w="60" w:type="dxa"/>
              <w:start w:w="70" w:type="dxa"/>
              <w:bottom w:w="60" w:type="dxa"/>
              <w:end w:w="70" w:type="dxa"/>
            </w:tcMar>
          </w:tcPr>
          <w:p>
            <w:r>
              <w:rPr>
                <w:rFonts w:ascii="Arial" w:hAnsi="Arial"/>
                <w:sz w:val="14"/>
              </w:rPr>
              <w:t>1.0619</w:t>
            </w:r>
          </w:p>
        </w:tc>
        <w:tc>
          <w:tcPr>
            <w:tcW w:type="dxa" w:w="1656"/>
            <w:vAlign w:val="center"/>
            <w:tcMar>
              <w:top w:w="60" w:type="dxa"/>
              <w:start w:w="70" w:type="dxa"/>
              <w:bottom w:w="60" w:type="dxa"/>
              <w:end w:w="70" w:type="dxa"/>
            </w:tcMar>
          </w:tcPr>
          <w:p>
            <w:r>
              <w:rPr>
                <w:rFonts w:ascii="Arial" w:hAnsi="Arial"/>
                <w:sz w:val="14"/>
              </w:rPr>
              <w:t>Sample benchmark</w:t>
            </w:r>
          </w:p>
        </w:tc>
      </w:tr>
    </w:tbl>
    <w:p>
      <w:pPr>
        <w:spacing w:after="0"/>
      </w:pPr>
    </w:p>
    <w:p>
      <w:pPr>
        <w:jc w:val="center"/>
      </w:pPr>
      <w:r>
        <w:drawing>
          <wp:inline xmlns:a="http://schemas.openxmlformats.org/drawingml/2006/main" xmlns:pic="http://schemas.openxmlformats.org/drawingml/2006/picture">
            <wp:extent cx="5760720" cy="3192739"/>
            <wp:docPr id="1" name="Picture 1"/>
            <wp:cNvGraphicFramePr>
              <a:graphicFrameLocks noChangeAspect="1"/>
            </wp:cNvGraphicFramePr>
            <a:graphic>
              <a:graphicData uri="http://schemas.openxmlformats.org/drawingml/2006/picture">
                <pic:pic>
                  <pic:nvPicPr>
                    <pic:cNvPr id="0" name="d4_model_comparison.png"/>
                    <pic:cNvPicPr/>
                  </pic:nvPicPr>
                  <pic:blipFill>
                    <a:blip r:embed="rId11"/>
                    <a:stretch>
                      <a:fillRect/>
                    </a:stretch>
                  </pic:blipFill>
                  <pic:spPr>
                    <a:xfrm>
                      <a:off x="0" y="0"/>
                      <a:ext cx="5760720" cy="3192739"/>
                    </a:xfrm>
                    <a:prstGeom prst="rect"/>
                  </pic:spPr>
                </pic:pic>
              </a:graphicData>
            </a:graphic>
          </wp:inline>
        </w:drawing>
      </w:r>
    </w:p>
    <w:p>
      <w:pPr>
        <w:spacing w:after="60"/>
        <w:jc w:val="center"/>
      </w:pPr>
      <w:r>
        <w:rPr>
          <w:rFonts w:ascii="Arial" w:hAnsi="Arial"/>
          <w:i/>
          <w:color w:val="555555"/>
          <w:sz w:val="16"/>
        </w:rPr>
        <w:t>Figure 1. Density benchmarks have strong non-noise separation but substantially lower or uneven coverage.</w:t>
      </w:r>
    </w:p>
    <w:p>
      <w:pPr>
        <w:pStyle w:val="Heading2"/>
      </w:pPr>
      <w:r>
        <w:t>Selected K-Means Evidence</w:t>
      </w:r>
    </w:p>
    <w:tbl>
      <w:tblPr>
        <w:tblStyle w:val="TableGrid"/>
        <w:tblW w:type="auto" w:w="0"/>
        <w:jc w:val="center"/>
        <w:tblLayout w:type="autofit"/>
        <w:tblLook w:firstColumn="1" w:firstRow="1" w:lastColumn="0" w:lastRow="0" w:noHBand="0" w:noVBand="1" w:val="04A0"/>
      </w:tblPr>
      <w:tblGrid>
        <w:gridCol w:w="5285"/>
        <w:gridCol w:w="5285"/>
      </w:tblGrid>
      <w:tr>
        <w:trPr>
          <w:tblHeader w:val="true"/>
        </w:trPr>
        <w:tc>
          <w:tcPr>
            <w:tcW w:type="dxa" w:w="3888"/>
            <w:shd w:fill="D9EAF7"/>
            <w:vAlign w:val="center"/>
            <w:tcMar>
              <w:top w:w="60" w:type="dxa"/>
              <w:start w:w="70" w:type="dxa"/>
              <w:bottom w:w="60" w:type="dxa"/>
              <w:end w:w="70" w:type="dxa"/>
            </w:tcMar>
          </w:tcPr>
          <w:p>
            <w:pPr>
              <w:jc w:val="center"/>
            </w:pPr>
            <w:r>
              <w:rPr>
                <w:rFonts w:ascii="Arial" w:hAnsi="Arial"/>
                <w:b/>
                <w:color w:val="1F1F1F"/>
                <w:sz w:val="16"/>
              </w:rPr>
              <w:t>Criterion</w:t>
            </w:r>
          </w:p>
        </w:tc>
        <w:tc>
          <w:tcPr>
            <w:tcW w:type="dxa" w:w="3600"/>
            <w:shd w:fill="D9EAF7"/>
            <w:vAlign w:val="center"/>
            <w:tcMar>
              <w:top w:w="60" w:type="dxa"/>
              <w:start w:w="70" w:type="dxa"/>
              <w:bottom w:w="60" w:type="dxa"/>
              <w:end w:w="70" w:type="dxa"/>
            </w:tcMar>
          </w:tcPr>
          <w:p>
            <w:pPr>
              <w:jc w:val="center"/>
            </w:pPr>
            <w:r>
              <w:rPr>
                <w:rFonts w:ascii="Arial" w:hAnsi="Arial"/>
                <w:b/>
                <w:color w:val="1F1F1F"/>
                <w:sz w:val="16"/>
              </w:rPr>
              <w:t>Result</w:t>
            </w:r>
          </w:p>
        </w:tc>
      </w:tr>
      <w:tr>
        <w:tc>
          <w:tcPr>
            <w:tcW w:type="dxa" w:w="3888"/>
            <w:vAlign w:val="center"/>
            <w:tcMar>
              <w:top w:w="60" w:type="dxa"/>
              <w:start w:w="70" w:type="dxa"/>
              <w:bottom w:w="60" w:type="dxa"/>
              <w:end w:w="70" w:type="dxa"/>
            </w:tcMar>
          </w:tcPr>
          <w:p>
            <w:r>
              <w:rPr>
                <w:rFonts w:ascii="Arial" w:hAnsi="Arial"/>
                <w:sz w:val="16"/>
              </w:rPr>
              <w:t>Coverage</w:t>
            </w:r>
          </w:p>
        </w:tc>
        <w:tc>
          <w:tcPr>
            <w:tcW w:type="dxa" w:w="3600"/>
            <w:vAlign w:val="center"/>
            <w:tcMar>
              <w:top w:w="60" w:type="dxa"/>
              <w:start w:w="70" w:type="dxa"/>
              <w:bottom w:w="60" w:type="dxa"/>
              <w:end w:w="70" w:type="dxa"/>
            </w:tcMar>
          </w:tcPr>
          <w:p>
            <w:r>
              <w:rPr>
                <w:rFonts w:ascii="Arial" w:hAnsi="Arial"/>
                <w:sz w:val="16"/>
              </w:rPr>
              <w:t>100%</w:t>
            </w:r>
          </w:p>
        </w:tc>
      </w:tr>
      <w:tr>
        <w:tc>
          <w:tcPr>
            <w:tcW w:type="dxa" w:w="3888"/>
            <w:vAlign w:val="center"/>
            <w:tcMar>
              <w:top w:w="60" w:type="dxa"/>
              <w:start w:w="70" w:type="dxa"/>
              <w:bottom w:w="60" w:type="dxa"/>
              <w:end w:w="70" w:type="dxa"/>
            </w:tcMar>
          </w:tcPr>
          <w:p>
            <w:r>
              <w:rPr>
                <w:rFonts w:ascii="Arial" w:hAnsi="Arial"/>
                <w:sz w:val="16"/>
              </w:rPr>
              <w:t>Final profiles</w:t>
            </w:r>
          </w:p>
        </w:tc>
        <w:tc>
          <w:tcPr>
            <w:tcW w:type="dxa" w:w="3600"/>
            <w:vAlign w:val="center"/>
            <w:tcMar>
              <w:top w:w="60" w:type="dxa"/>
              <w:start w:w="70" w:type="dxa"/>
              <w:bottom w:w="60" w:type="dxa"/>
              <w:end w:w="70" w:type="dxa"/>
            </w:tcMar>
          </w:tcPr>
          <w:p>
            <w:r>
              <w:rPr>
                <w:rFonts w:ascii="Arial" w:hAnsi="Arial"/>
                <w:sz w:val="16"/>
              </w:rPr>
              <w:t>4</w:t>
            </w:r>
          </w:p>
        </w:tc>
      </w:tr>
      <w:tr>
        <w:tc>
          <w:tcPr>
            <w:tcW w:type="dxa" w:w="3888"/>
            <w:vAlign w:val="center"/>
            <w:tcMar>
              <w:top w:w="60" w:type="dxa"/>
              <w:start w:w="70" w:type="dxa"/>
              <w:bottom w:w="60" w:type="dxa"/>
              <w:end w:w="70" w:type="dxa"/>
            </w:tcMar>
          </w:tcPr>
          <w:p>
            <w:r>
              <w:rPr>
                <w:rFonts w:ascii="Arial" w:hAnsi="Arial"/>
                <w:sz w:val="16"/>
              </w:rPr>
              <w:t>Silhouette</w:t>
            </w:r>
          </w:p>
        </w:tc>
        <w:tc>
          <w:tcPr>
            <w:tcW w:type="dxa" w:w="3600"/>
            <w:vAlign w:val="center"/>
            <w:tcMar>
              <w:top w:w="60" w:type="dxa"/>
              <w:start w:w="70" w:type="dxa"/>
              <w:bottom w:w="60" w:type="dxa"/>
              <w:end w:w="70" w:type="dxa"/>
            </w:tcMar>
          </w:tcPr>
          <w:p>
            <w:r>
              <w:rPr>
                <w:rFonts w:ascii="Arial" w:hAnsi="Arial"/>
                <w:sz w:val="16"/>
              </w:rPr>
              <w:t>0.2963</w:t>
            </w:r>
          </w:p>
        </w:tc>
      </w:tr>
      <w:tr>
        <w:tc>
          <w:tcPr>
            <w:tcW w:type="dxa" w:w="3888"/>
            <w:vAlign w:val="center"/>
            <w:tcMar>
              <w:top w:w="60" w:type="dxa"/>
              <w:start w:w="70" w:type="dxa"/>
              <w:bottom w:w="60" w:type="dxa"/>
              <w:end w:w="70" w:type="dxa"/>
            </w:tcMar>
          </w:tcPr>
          <w:p>
            <w:r>
              <w:rPr>
                <w:rFonts w:ascii="Arial" w:hAnsi="Arial"/>
                <w:sz w:val="16"/>
              </w:rPr>
              <w:t>DBI</w:t>
            </w:r>
          </w:p>
        </w:tc>
        <w:tc>
          <w:tcPr>
            <w:tcW w:type="dxa" w:w="3600"/>
            <w:vAlign w:val="center"/>
            <w:tcMar>
              <w:top w:w="60" w:type="dxa"/>
              <w:start w:w="70" w:type="dxa"/>
              <w:bottom w:w="60" w:type="dxa"/>
              <w:end w:w="70" w:type="dxa"/>
            </w:tcMar>
          </w:tcPr>
          <w:p>
            <w:r>
              <w:rPr>
                <w:rFonts w:ascii="Arial" w:hAnsi="Arial"/>
                <w:sz w:val="16"/>
              </w:rPr>
              <w:t>1.2791</w:t>
            </w:r>
          </w:p>
        </w:tc>
      </w:tr>
      <w:tr>
        <w:tc>
          <w:tcPr>
            <w:tcW w:type="dxa" w:w="3888"/>
            <w:vAlign w:val="center"/>
            <w:tcMar>
              <w:top w:w="60" w:type="dxa"/>
              <w:start w:w="70" w:type="dxa"/>
              <w:bottom w:w="60" w:type="dxa"/>
              <w:end w:w="70" w:type="dxa"/>
            </w:tcMar>
          </w:tcPr>
          <w:p>
            <w:r>
              <w:rPr>
                <w:rFonts w:ascii="Arial" w:hAnsi="Arial"/>
                <w:sz w:val="16"/>
              </w:rPr>
              <w:t>Seed ARI mean/min</w:t>
            </w:r>
          </w:p>
        </w:tc>
        <w:tc>
          <w:tcPr>
            <w:tcW w:type="dxa" w:w="3600"/>
            <w:vAlign w:val="center"/>
            <w:tcMar>
              <w:top w:w="60" w:type="dxa"/>
              <w:start w:w="70" w:type="dxa"/>
              <w:bottom w:w="60" w:type="dxa"/>
              <w:end w:w="70" w:type="dxa"/>
            </w:tcMar>
          </w:tcPr>
          <w:p>
            <w:r>
              <w:rPr>
                <w:rFonts w:ascii="Arial" w:hAnsi="Arial"/>
                <w:sz w:val="16"/>
              </w:rPr>
              <w:t>0.9850 / 0.9776</w:t>
            </w:r>
          </w:p>
        </w:tc>
      </w:tr>
      <w:tr>
        <w:tc>
          <w:tcPr>
            <w:tcW w:type="dxa" w:w="3888"/>
            <w:vAlign w:val="center"/>
            <w:tcMar>
              <w:top w:w="60" w:type="dxa"/>
              <w:start w:w="70" w:type="dxa"/>
              <w:bottom w:w="60" w:type="dxa"/>
              <w:end w:w="70" w:type="dxa"/>
            </w:tcMar>
          </w:tcPr>
          <w:p>
            <w:r>
              <w:rPr>
                <w:rFonts w:ascii="Arial" w:hAnsi="Arial"/>
                <w:sz w:val="16"/>
              </w:rPr>
              <w:t>Bootstrap ARI mean/min</w:t>
            </w:r>
          </w:p>
        </w:tc>
        <w:tc>
          <w:tcPr>
            <w:tcW w:type="dxa" w:w="3600"/>
            <w:vAlign w:val="center"/>
            <w:tcMar>
              <w:top w:w="60" w:type="dxa"/>
              <w:start w:w="70" w:type="dxa"/>
              <w:bottom w:w="60" w:type="dxa"/>
              <w:end w:w="70" w:type="dxa"/>
            </w:tcMar>
          </w:tcPr>
          <w:p>
            <w:r>
              <w:rPr>
                <w:rFonts w:ascii="Arial" w:hAnsi="Arial"/>
                <w:sz w:val="16"/>
              </w:rPr>
              <w:t>0.8847 / 0.8047</w:t>
            </w:r>
          </w:p>
        </w:tc>
      </w:tr>
      <w:tr>
        <w:tc>
          <w:tcPr>
            <w:tcW w:type="dxa" w:w="3888"/>
            <w:vAlign w:val="center"/>
            <w:tcMar>
              <w:top w:w="60" w:type="dxa"/>
              <w:start w:w="70" w:type="dxa"/>
              <w:bottom w:w="60" w:type="dxa"/>
              <w:end w:w="70" w:type="dxa"/>
            </w:tcMar>
          </w:tcPr>
          <w:p>
            <w:r>
              <w:rPr>
                <w:rFonts w:ascii="Arial" w:hAnsi="Arial"/>
                <w:sz w:val="16"/>
              </w:rPr>
              <w:t>LOCO ARI mean/min</w:t>
            </w:r>
          </w:p>
        </w:tc>
        <w:tc>
          <w:tcPr>
            <w:tcW w:type="dxa" w:w="3600"/>
            <w:vAlign w:val="center"/>
            <w:tcMar>
              <w:top w:w="60" w:type="dxa"/>
              <w:start w:w="70" w:type="dxa"/>
              <w:bottom w:w="60" w:type="dxa"/>
              <w:end w:w="70" w:type="dxa"/>
            </w:tcMar>
          </w:tcPr>
          <w:p>
            <w:r>
              <w:rPr>
                <w:rFonts w:ascii="Arial" w:hAnsi="Arial"/>
                <w:sz w:val="16"/>
              </w:rPr>
              <w:t>0.8533 / 0.6858</w:t>
            </w:r>
          </w:p>
        </w:tc>
      </w:tr>
      <w:tr>
        <w:tc>
          <w:tcPr>
            <w:tcW w:type="dxa" w:w="3888"/>
            <w:vAlign w:val="center"/>
            <w:tcMar>
              <w:top w:w="60" w:type="dxa"/>
              <w:start w:w="70" w:type="dxa"/>
              <w:bottom w:w="60" w:type="dxa"/>
              <w:end w:w="70" w:type="dxa"/>
            </w:tcMar>
          </w:tcPr>
          <w:p>
            <w:r>
              <w:rPr>
                <w:rFonts w:ascii="Arial" w:hAnsi="Arial"/>
                <w:sz w:val="16"/>
              </w:rPr>
              <w:t>LORO ARI median/min</w:t>
            </w:r>
          </w:p>
        </w:tc>
        <w:tc>
          <w:tcPr>
            <w:tcW w:type="dxa" w:w="3600"/>
            <w:vAlign w:val="center"/>
            <w:tcMar>
              <w:top w:w="60" w:type="dxa"/>
              <w:start w:w="70" w:type="dxa"/>
              <w:bottom w:w="60" w:type="dxa"/>
              <w:end w:w="70" w:type="dxa"/>
            </w:tcMar>
          </w:tcPr>
          <w:p>
            <w:r>
              <w:rPr>
                <w:rFonts w:ascii="Arial" w:hAnsi="Arial"/>
                <w:sz w:val="16"/>
              </w:rPr>
              <w:t>0.9774 / 0.6082</w:t>
            </w:r>
          </w:p>
        </w:tc>
      </w:tr>
    </w:tbl>
    <w:p>
      <w:pPr>
        <w:spacing w:after="0"/>
      </w:pPr>
    </w:p>
    <w:p>
      <w:r>
        <w:br w:type="page"/>
      </w:r>
    </w:p>
    <w:p>
      <w:pPr>
        <w:pStyle w:val="Heading1"/>
      </w:pPr>
      <w:r>
        <w:t>5. Statistical Validation</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trPr>
        <w:tc>
          <w:tcPr>
            <w:tcW w:type="dxa" w:w="2088"/>
            <w:shd w:fill="D9EAF7"/>
            <w:vAlign w:val="center"/>
            <w:tcMar>
              <w:top w:w="60" w:type="dxa"/>
              <w:start w:w="70" w:type="dxa"/>
              <w:bottom w:w="60" w:type="dxa"/>
              <w:end w:w="70" w:type="dxa"/>
            </w:tcMar>
          </w:tcPr>
          <w:p>
            <w:pPr>
              <w:jc w:val="center"/>
            </w:pPr>
            <w:r>
              <w:rPr>
                <w:rFonts w:ascii="Arial" w:hAnsi="Arial"/>
                <w:b/>
                <w:color w:val="1F1F1F"/>
                <w:sz w:val="15"/>
              </w:rPr>
              <w:t>Method</w:t>
            </w:r>
          </w:p>
        </w:tc>
        <w:tc>
          <w:tcPr>
            <w:tcW w:type="dxa" w:w="2592"/>
            <w:shd w:fill="D9EAF7"/>
            <w:vAlign w:val="center"/>
            <w:tcMar>
              <w:top w:w="60" w:type="dxa"/>
              <w:start w:w="70" w:type="dxa"/>
              <w:bottom w:w="60" w:type="dxa"/>
              <w:end w:w="70" w:type="dxa"/>
            </w:tcMar>
          </w:tcPr>
          <w:p>
            <w:pPr>
              <w:jc w:val="center"/>
            </w:pPr>
            <w:r>
              <w:rPr>
                <w:rFonts w:ascii="Arial" w:hAnsi="Arial"/>
                <w:b/>
                <w:color w:val="1F1F1F"/>
                <w:sz w:val="15"/>
              </w:rPr>
              <w:t>When used</w:t>
            </w:r>
          </w:p>
        </w:tc>
        <w:tc>
          <w:tcPr>
            <w:tcW w:type="dxa" w:w="5544"/>
            <w:shd w:fill="D9EAF7"/>
            <w:vAlign w:val="center"/>
            <w:tcMar>
              <w:top w:w="60" w:type="dxa"/>
              <w:start w:w="70" w:type="dxa"/>
              <w:bottom w:w="60" w:type="dxa"/>
              <w:end w:w="70" w:type="dxa"/>
            </w:tcMar>
          </w:tcPr>
          <w:p>
            <w:pPr>
              <w:jc w:val="center"/>
            </w:pPr>
            <w:r>
              <w:rPr>
                <w:rFonts w:ascii="Arial" w:hAnsi="Arial"/>
                <w:b/>
                <w:color w:val="1F1F1F"/>
                <w:sz w:val="15"/>
              </w:rPr>
              <w:t>Result</w:t>
            </w:r>
          </w:p>
        </w:tc>
      </w:tr>
      <w:tr>
        <w:tc>
          <w:tcPr>
            <w:tcW w:type="dxa" w:w="2088"/>
            <w:vAlign w:val="center"/>
            <w:tcMar>
              <w:top w:w="60" w:type="dxa"/>
              <w:start w:w="70" w:type="dxa"/>
              <w:bottom w:w="60" w:type="dxa"/>
              <w:end w:w="70" w:type="dxa"/>
            </w:tcMar>
          </w:tcPr>
          <w:p>
            <w:r>
              <w:rPr>
                <w:rFonts w:ascii="Arial" w:hAnsi="Arial"/>
                <w:sz w:val="15"/>
              </w:rPr>
              <w:t>Repeated random seeds</w:t>
            </w:r>
          </w:p>
        </w:tc>
        <w:tc>
          <w:tcPr>
            <w:tcW w:type="dxa" w:w="2592"/>
            <w:vAlign w:val="center"/>
            <w:tcMar>
              <w:top w:w="60" w:type="dxa"/>
              <w:start w:w="70" w:type="dxa"/>
              <w:bottom w:w="60" w:type="dxa"/>
              <w:end w:w="70" w:type="dxa"/>
            </w:tcMar>
          </w:tcPr>
          <w:p>
            <w:r>
              <w:rPr>
                <w:rFonts w:ascii="Arial" w:hAnsi="Arial"/>
                <w:sz w:val="15"/>
              </w:rPr>
              <w:t>Initialization sensitivity</w:t>
            </w:r>
          </w:p>
        </w:tc>
        <w:tc>
          <w:tcPr>
            <w:tcW w:type="dxa" w:w="5544"/>
            <w:vAlign w:val="center"/>
            <w:tcMar>
              <w:top w:w="60" w:type="dxa"/>
              <w:start w:w="70" w:type="dxa"/>
              <w:bottom w:w="60" w:type="dxa"/>
              <w:end w:w="70" w:type="dxa"/>
            </w:tcMar>
          </w:tcPr>
          <w:p>
            <w:r>
              <w:rPr>
                <w:rFonts w:ascii="Arial" w:hAnsi="Arial"/>
                <w:sz w:val="15"/>
              </w:rPr>
              <w:t>Pairwise ARI mean 0.9850; minimum 0.9776 for production K-Means k=4.</w:t>
            </w:r>
          </w:p>
        </w:tc>
      </w:tr>
      <w:tr>
        <w:tc>
          <w:tcPr>
            <w:tcW w:type="dxa" w:w="2088"/>
            <w:vAlign w:val="center"/>
            <w:tcMar>
              <w:top w:w="60" w:type="dxa"/>
              <w:start w:w="70" w:type="dxa"/>
              <w:bottom w:w="60" w:type="dxa"/>
              <w:end w:w="70" w:type="dxa"/>
            </w:tcMar>
          </w:tcPr>
          <w:p>
            <w:r>
              <w:rPr>
                <w:rFonts w:ascii="Arial" w:hAnsi="Arial"/>
                <w:sz w:val="15"/>
              </w:rPr>
              <w:t>Bootstrap refits</w:t>
            </w:r>
          </w:p>
        </w:tc>
        <w:tc>
          <w:tcPr>
            <w:tcW w:type="dxa" w:w="2592"/>
            <w:vAlign w:val="center"/>
            <w:tcMar>
              <w:top w:w="60" w:type="dxa"/>
              <w:start w:w="70" w:type="dxa"/>
              <w:bottom w:w="60" w:type="dxa"/>
              <w:end w:w="70" w:type="dxa"/>
            </w:tcMar>
          </w:tcPr>
          <w:p>
            <w:r>
              <w:rPr>
                <w:rFonts w:ascii="Arial" w:hAnsi="Arial"/>
                <w:sz w:val="15"/>
              </w:rPr>
              <w:t>Trajectory-composition stability</w:t>
            </w:r>
          </w:p>
        </w:tc>
        <w:tc>
          <w:tcPr>
            <w:tcW w:type="dxa" w:w="5544"/>
            <w:vAlign w:val="center"/>
            <w:tcMar>
              <w:top w:w="60" w:type="dxa"/>
              <w:start w:w="70" w:type="dxa"/>
              <w:bottom w:w="60" w:type="dxa"/>
              <w:end w:w="70" w:type="dxa"/>
            </w:tcMar>
          </w:tcPr>
          <w:p>
            <w:r>
              <w:rPr>
                <w:rFonts w:ascii="Arial" w:hAnsi="Arial"/>
                <w:sz w:val="15"/>
              </w:rPr>
              <w:t>ARI mean 0.8847; minimum 0.8047.</w:t>
            </w:r>
          </w:p>
        </w:tc>
      </w:tr>
      <w:tr>
        <w:tc>
          <w:tcPr>
            <w:tcW w:type="dxa" w:w="2088"/>
            <w:vAlign w:val="center"/>
            <w:tcMar>
              <w:top w:w="60" w:type="dxa"/>
              <w:start w:w="70" w:type="dxa"/>
              <w:bottom w:w="60" w:type="dxa"/>
              <w:end w:w="70" w:type="dxa"/>
            </w:tcMar>
          </w:tcPr>
          <w:p>
            <w:r>
              <w:rPr>
                <w:rFonts w:ascii="Arial" w:hAnsi="Arial"/>
                <w:sz w:val="15"/>
              </w:rPr>
              <w:t>Leave-one-city-out</w:t>
            </w:r>
          </w:p>
        </w:tc>
        <w:tc>
          <w:tcPr>
            <w:tcW w:type="dxa" w:w="2592"/>
            <w:vAlign w:val="center"/>
            <w:tcMar>
              <w:top w:w="60" w:type="dxa"/>
              <w:start w:w="70" w:type="dxa"/>
              <w:bottom w:w="60" w:type="dxa"/>
              <w:end w:w="70" w:type="dxa"/>
            </w:tcMar>
          </w:tcPr>
          <w:p>
            <w:r>
              <w:rPr>
                <w:rFonts w:ascii="Arial" w:hAnsi="Arial"/>
                <w:sz w:val="15"/>
              </w:rPr>
              <w:t>Cross-city transfer</w:t>
            </w:r>
          </w:p>
        </w:tc>
        <w:tc>
          <w:tcPr>
            <w:tcW w:type="dxa" w:w="5544"/>
            <w:vAlign w:val="center"/>
            <w:tcMar>
              <w:top w:w="60" w:type="dxa"/>
              <w:start w:w="70" w:type="dxa"/>
              <w:bottom w:w="60" w:type="dxa"/>
              <w:end w:w="70" w:type="dxa"/>
            </w:tcMar>
          </w:tcPr>
          <w:p>
            <w:r>
              <w:rPr>
                <w:rFonts w:ascii="Arial" w:hAnsi="Arial"/>
                <w:sz w:val="15"/>
              </w:rPr>
              <w:t>Mean ARI 0.8533; all four profiles recovered in every city.</w:t>
            </w:r>
          </w:p>
        </w:tc>
      </w:tr>
      <w:tr>
        <w:tc>
          <w:tcPr>
            <w:tcW w:type="dxa" w:w="2088"/>
            <w:vAlign w:val="center"/>
            <w:tcMar>
              <w:top w:w="60" w:type="dxa"/>
              <w:start w:w="70" w:type="dxa"/>
              <w:bottom w:w="60" w:type="dxa"/>
              <w:end w:w="70" w:type="dxa"/>
            </w:tcMar>
          </w:tcPr>
          <w:p>
            <w:r>
              <w:rPr>
                <w:rFonts w:ascii="Arial" w:hAnsi="Arial"/>
                <w:sz w:val="15"/>
              </w:rPr>
              <w:t>Leave-one-recording-out</w:t>
            </w:r>
          </w:p>
        </w:tc>
        <w:tc>
          <w:tcPr>
            <w:tcW w:type="dxa" w:w="2592"/>
            <w:vAlign w:val="center"/>
            <w:tcMar>
              <w:top w:w="60" w:type="dxa"/>
              <w:start w:w="70" w:type="dxa"/>
              <w:bottom w:w="60" w:type="dxa"/>
              <w:end w:w="70" w:type="dxa"/>
            </w:tcMar>
          </w:tcPr>
          <w:p>
            <w:r>
              <w:rPr>
                <w:rFonts w:ascii="Arial" w:hAnsi="Arial"/>
                <w:sz w:val="15"/>
              </w:rPr>
              <w:t>Recording robustness</w:t>
            </w:r>
          </w:p>
        </w:tc>
        <w:tc>
          <w:tcPr>
            <w:tcW w:type="dxa" w:w="5544"/>
            <w:vAlign w:val="center"/>
            <w:tcMar>
              <w:top w:w="60" w:type="dxa"/>
              <w:start w:w="70" w:type="dxa"/>
              <w:bottom w:w="60" w:type="dxa"/>
              <w:end w:w="70" w:type="dxa"/>
            </w:tcMar>
          </w:tcPr>
          <w:p>
            <w:r>
              <w:rPr>
                <w:rFonts w:ascii="Arial" w:hAnsi="Arial"/>
                <w:sz w:val="15"/>
              </w:rPr>
              <w:t>Median ARI 0.9774; 55/56 recordings have ARI ≥ 0.80.</w:t>
            </w:r>
          </w:p>
        </w:tc>
      </w:tr>
      <w:tr>
        <w:tc>
          <w:tcPr>
            <w:tcW w:type="dxa" w:w="2088"/>
            <w:vAlign w:val="center"/>
            <w:tcMar>
              <w:top w:w="60" w:type="dxa"/>
              <w:start w:w="70" w:type="dxa"/>
              <w:bottom w:w="60" w:type="dxa"/>
              <w:end w:w="70" w:type="dxa"/>
            </w:tcMar>
          </w:tcPr>
          <w:p>
            <w:r>
              <w:rPr>
                <w:rFonts w:ascii="Arial" w:hAnsi="Arial"/>
                <w:sz w:val="15"/>
              </w:rPr>
              <w:t>Confidence interval</w:t>
            </w:r>
          </w:p>
        </w:tc>
        <w:tc>
          <w:tcPr>
            <w:tcW w:type="dxa" w:w="2592"/>
            <w:vAlign w:val="center"/>
            <w:tcMar>
              <w:top w:w="60" w:type="dxa"/>
              <w:start w:w="70" w:type="dxa"/>
              <w:bottom w:w="60" w:type="dxa"/>
              <w:end w:w="70" w:type="dxa"/>
            </w:tcMar>
          </w:tcPr>
          <w:p>
            <w:r>
              <w:rPr>
                <w:rFonts w:ascii="Arial" w:hAnsi="Arial"/>
                <w:sz w:val="15"/>
              </w:rPr>
              <w:t>Tianjin post-cluster proportions</w:t>
            </w:r>
          </w:p>
        </w:tc>
        <w:tc>
          <w:tcPr>
            <w:tcW w:type="dxa" w:w="5544"/>
            <w:vAlign w:val="center"/>
            <w:tcMar>
              <w:top w:w="60" w:type="dxa"/>
              <w:start w:w="70" w:type="dxa"/>
              <w:bottom w:w="60" w:type="dxa"/>
              <w:end w:w="70" w:type="dxa"/>
            </w:tcMar>
          </w:tcPr>
          <w:p>
            <w:r>
              <w:rPr>
                <w:rFonts w:ascii="Arial" w:hAnsi="Arial"/>
                <w:sz w:val="15"/>
              </w:rPr>
              <w:t>Wilson intervals used later for profile-specific signal-violation rates.</w:t>
            </w:r>
          </w:p>
        </w:tc>
      </w:tr>
      <w:tr>
        <w:tc>
          <w:tcPr>
            <w:tcW w:type="dxa" w:w="2088"/>
            <w:vAlign w:val="center"/>
            <w:tcMar>
              <w:top w:w="60" w:type="dxa"/>
              <w:start w:w="70" w:type="dxa"/>
              <w:bottom w:w="60" w:type="dxa"/>
              <w:end w:w="70" w:type="dxa"/>
            </w:tcMar>
          </w:tcPr>
          <w:p>
            <w:r>
              <w:rPr>
                <w:rFonts w:ascii="Arial" w:hAnsi="Arial"/>
                <w:sz w:val="15"/>
              </w:rPr>
              <w:t>t-test / Wilcoxon</w:t>
            </w:r>
          </w:p>
        </w:tc>
        <w:tc>
          <w:tcPr>
            <w:tcW w:type="dxa" w:w="2592"/>
            <w:vAlign w:val="center"/>
            <w:tcMar>
              <w:top w:w="60" w:type="dxa"/>
              <w:start w:w="70" w:type="dxa"/>
              <w:bottom w:w="60" w:type="dxa"/>
              <w:end w:w="70" w:type="dxa"/>
            </w:tcMar>
          </w:tcPr>
          <w:p>
            <w:r>
              <w:rPr>
                <w:rFonts w:ascii="Arial" w:hAnsi="Arial"/>
                <w:sz w:val="15"/>
              </w:rPr>
              <w:t>Not used</w:t>
            </w:r>
          </w:p>
        </w:tc>
        <w:tc>
          <w:tcPr>
            <w:tcW w:type="dxa" w:w="5544"/>
            <w:vAlign w:val="center"/>
            <w:tcMar>
              <w:top w:w="60" w:type="dxa"/>
              <w:start w:w="70" w:type="dxa"/>
              <w:bottom w:w="60" w:type="dxa"/>
              <w:end w:w="70" w:type="dxa"/>
            </w:tcMar>
          </w:tcPr>
          <w:p>
            <w:r>
              <w:rPr>
                <w:rFonts w:ascii="Arial" w:hAnsi="Arial"/>
                <w:sz w:val="15"/>
              </w:rPr>
              <w:t>Repeated cluster metrics and partitions are dependent; ARI and context-level validation are more appropriate.</w:t>
            </w:r>
          </w:p>
        </w:tc>
      </w:tr>
    </w:tbl>
    <w:p>
      <w:pPr>
        <w:spacing w:after="0"/>
      </w:pPr>
    </w:p>
    <w:p>
      <w:pPr>
        <w:pStyle w:val="Heading1"/>
      </w:pPr>
      <w:r>
        <w:t>6. Error Analysis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trPr>
        <w:tc>
          <w:tcPr>
            <w:tcW w:type="dxa" w:w="1800"/>
            <w:shd w:fill="D9EAF7"/>
            <w:vAlign w:val="center"/>
            <w:tcMar>
              <w:top w:w="60" w:type="dxa"/>
              <w:start w:w="70" w:type="dxa"/>
              <w:bottom w:w="60" w:type="dxa"/>
              <w:end w:w="70" w:type="dxa"/>
            </w:tcMar>
          </w:tcPr>
          <w:p>
            <w:pPr>
              <w:jc w:val="center"/>
            </w:pPr>
            <w:r>
              <w:rPr>
                <w:rFonts w:ascii="Arial" w:hAnsi="Arial"/>
                <w:b/>
                <w:color w:val="1F1F1F"/>
                <w:sz w:val="14"/>
              </w:rPr>
              <w:t>Case</w:t>
            </w:r>
          </w:p>
        </w:tc>
        <w:tc>
          <w:tcPr>
            <w:tcW w:type="dxa" w:w="2952"/>
            <w:shd w:fill="D9EAF7"/>
            <w:vAlign w:val="center"/>
            <w:tcMar>
              <w:top w:w="60" w:type="dxa"/>
              <w:start w:w="70" w:type="dxa"/>
              <w:bottom w:w="60" w:type="dxa"/>
              <w:end w:w="70" w:type="dxa"/>
            </w:tcMar>
          </w:tcPr>
          <w:p>
            <w:pPr>
              <w:jc w:val="center"/>
            </w:pPr>
            <w:r>
              <w:rPr>
                <w:rFonts w:ascii="Arial" w:hAnsi="Arial"/>
                <w:b/>
                <w:color w:val="1F1F1F"/>
                <w:sz w:val="14"/>
              </w:rPr>
              <w:t>Description</w:t>
            </w:r>
          </w:p>
        </w:tc>
        <w:tc>
          <w:tcPr>
            <w:tcW w:type="dxa" w:w="2520"/>
            <w:shd w:fill="D9EAF7"/>
            <w:vAlign w:val="center"/>
            <w:tcMar>
              <w:top w:w="60" w:type="dxa"/>
              <w:start w:w="70" w:type="dxa"/>
              <w:bottom w:w="60" w:type="dxa"/>
              <w:end w:w="70" w:type="dxa"/>
            </w:tcMar>
          </w:tcPr>
          <w:p>
            <w:pPr>
              <w:jc w:val="center"/>
            </w:pPr>
            <w:r>
              <w:rPr>
                <w:rFonts w:ascii="Arial" w:hAnsi="Arial"/>
                <w:b/>
                <w:color w:val="1F1F1F"/>
                <w:sz w:val="14"/>
              </w:rPr>
              <w:t>Possible cause</w:t>
            </w:r>
          </w:p>
        </w:tc>
        <w:tc>
          <w:tcPr>
            <w:tcW w:type="dxa" w:w="2952"/>
            <w:shd w:fill="D9EAF7"/>
            <w:vAlign w:val="center"/>
            <w:tcMar>
              <w:top w:w="60" w:type="dxa"/>
              <w:start w:w="70" w:type="dxa"/>
              <w:bottom w:w="60" w:type="dxa"/>
              <w:end w:w="70" w:type="dxa"/>
            </w:tcMar>
          </w:tcPr>
          <w:p>
            <w:pPr>
              <w:jc w:val="center"/>
            </w:pPr>
            <w:r>
              <w:rPr>
                <w:rFonts w:ascii="Arial" w:hAnsi="Arial"/>
                <w:b/>
                <w:color w:val="1F1F1F"/>
                <w:sz w:val="14"/>
              </w:rPr>
              <w:t>Improvement</w:t>
            </w:r>
          </w:p>
        </w:tc>
      </w:tr>
      <w:tr>
        <w:tc>
          <w:tcPr>
            <w:tcW w:type="dxa" w:w="1800"/>
            <w:vAlign w:val="center"/>
            <w:tcMar>
              <w:top w:w="60" w:type="dxa"/>
              <w:start w:w="70" w:type="dxa"/>
              <w:bottom w:w="60" w:type="dxa"/>
              <w:end w:w="70" w:type="dxa"/>
            </w:tcMar>
          </w:tcPr>
          <w:p>
            <w:r>
              <w:rPr>
                <w:rFonts w:ascii="Arial" w:hAnsi="Arial"/>
                <w:sz w:val="14"/>
              </w:rPr>
              <w:t>k=2 overly broad</w:t>
            </w:r>
          </w:p>
        </w:tc>
        <w:tc>
          <w:tcPr>
            <w:tcW w:type="dxa" w:w="2952"/>
            <w:vAlign w:val="center"/>
            <w:tcMar>
              <w:top w:w="60" w:type="dxa"/>
              <w:start w:w="70" w:type="dxa"/>
              <w:bottom w:w="60" w:type="dxa"/>
              <w:end w:w="70" w:type="dxa"/>
            </w:tcMar>
          </w:tcPr>
          <w:p>
            <w:r>
              <w:rPr>
                <w:rFonts w:ascii="Arial" w:hAnsi="Arial"/>
                <w:sz w:val="14"/>
              </w:rPr>
              <w:t>High Silhouette but 90% of rows in one cluster and only broad stop/non-stop separation.</w:t>
            </w:r>
          </w:p>
        </w:tc>
        <w:tc>
          <w:tcPr>
            <w:tcW w:type="dxa" w:w="2520"/>
            <w:vAlign w:val="center"/>
            <w:tcMar>
              <w:top w:w="60" w:type="dxa"/>
              <w:start w:w="70" w:type="dxa"/>
              <w:bottom w:w="60" w:type="dxa"/>
              <w:end w:w="70" w:type="dxa"/>
            </w:tcMar>
          </w:tcPr>
          <w:p>
            <w:r>
              <w:rPr>
                <w:rFonts w:ascii="Arial" w:hAnsi="Arial"/>
                <w:sz w:val="14"/>
              </w:rPr>
              <w:t>Compactness objective favors a coarse split.</w:t>
            </w:r>
          </w:p>
        </w:tc>
        <w:tc>
          <w:tcPr>
            <w:tcW w:type="dxa" w:w="2952"/>
            <w:vAlign w:val="center"/>
            <w:tcMar>
              <w:top w:w="60" w:type="dxa"/>
              <w:start w:w="70" w:type="dxa"/>
              <w:bottom w:w="60" w:type="dxa"/>
              <w:end w:w="70" w:type="dxa"/>
            </w:tcMar>
          </w:tcPr>
          <w:p>
            <w:r>
              <w:rPr>
                <w:rFonts w:ascii="Arial" w:hAnsi="Arial"/>
                <w:sz w:val="14"/>
              </w:rPr>
              <w:t>Retain as structural reference, not final behavioral taxonomy.</w:t>
            </w:r>
          </w:p>
        </w:tc>
      </w:tr>
      <w:tr>
        <w:tc>
          <w:tcPr>
            <w:tcW w:type="dxa" w:w="1800"/>
            <w:vAlign w:val="center"/>
            <w:tcMar>
              <w:top w:w="60" w:type="dxa"/>
              <w:start w:w="70" w:type="dxa"/>
              <w:bottom w:w="60" w:type="dxa"/>
              <w:end w:w="70" w:type="dxa"/>
            </w:tcMar>
          </w:tcPr>
          <w:p>
            <w:r>
              <w:rPr>
                <w:rFonts w:ascii="Arial" w:hAnsi="Arial"/>
                <w:sz w:val="14"/>
              </w:rPr>
              <w:t>k=5 unstable detail</w:t>
            </w:r>
          </w:p>
        </w:tc>
        <w:tc>
          <w:tcPr>
            <w:tcW w:type="dxa" w:w="2952"/>
            <w:vAlign w:val="center"/>
            <w:tcMar>
              <w:top w:w="60" w:type="dxa"/>
              <w:start w:w="70" w:type="dxa"/>
              <w:bottom w:w="60" w:type="dxa"/>
              <w:end w:w="70" w:type="dxa"/>
            </w:tcMar>
          </w:tcPr>
          <w:p>
            <w:r>
              <w:rPr>
                <w:rFonts w:ascii="Arial" w:hAnsi="Arial"/>
                <w:sz w:val="14"/>
              </w:rPr>
              <w:t>Higher feature separation but weaker bootstrap/city/recording stability.</w:t>
            </w:r>
          </w:p>
        </w:tc>
        <w:tc>
          <w:tcPr>
            <w:tcW w:type="dxa" w:w="2520"/>
            <w:vAlign w:val="center"/>
            <w:tcMar>
              <w:top w:w="60" w:type="dxa"/>
              <w:start w:w="70" w:type="dxa"/>
              <w:bottom w:w="60" w:type="dxa"/>
              <w:end w:w="70" w:type="dxa"/>
            </w:tcMar>
          </w:tcPr>
          <w:p>
            <w:r>
              <w:rPr>
                <w:rFonts w:ascii="Arial" w:hAnsi="Arial"/>
                <w:sz w:val="14"/>
              </w:rPr>
              <w:t>Fifth cluster divides a profile along a context-sensitive boundary.</w:t>
            </w:r>
          </w:p>
        </w:tc>
        <w:tc>
          <w:tcPr>
            <w:tcW w:type="dxa" w:w="2952"/>
            <w:vAlign w:val="center"/>
            <w:tcMar>
              <w:top w:w="60" w:type="dxa"/>
              <w:start w:w="70" w:type="dxa"/>
              <w:bottom w:w="60" w:type="dxa"/>
              <w:end w:w="70" w:type="dxa"/>
            </w:tcMar>
          </w:tcPr>
          <w:p>
            <w:r>
              <w:rPr>
                <w:rFonts w:ascii="Arial" w:hAnsi="Arial"/>
                <w:sz w:val="14"/>
              </w:rPr>
              <w:t>Use as sensitivity analysis only.</w:t>
            </w:r>
          </w:p>
        </w:tc>
      </w:tr>
      <w:tr>
        <w:tc>
          <w:tcPr>
            <w:tcW w:type="dxa" w:w="1800"/>
            <w:vAlign w:val="center"/>
            <w:tcMar>
              <w:top w:w="60" w:type="dxa"/>
              <w:start w:w="70" w:type="dxa"/>
              <w:bottom w:w="60" w:type="dxa"/>
              <w:end w:w="70" w:type="dxa"/>
            </w:tcMar>
          </w:tcPr>
          <w:p>
            <w:r>
              <w:rPr>
                <w:rFonts w:ascii="Arial" w:hAnsi="Arial"/>
                <w:sz w:val="14"/>
              </w:rPr>
              <w:t>Density cluster imbalance</w:t>
            </w:r>
          </w:p>
        </w:tc>
        <w:tc>
          <w:tcPr>
            <w:tcW w:type="dxa" w:w="2952"/>
            <w:vAlign w:val="center"/>
            <w:tcMar>
              <w:top w:w="60" w:type="dxa"/>
              <w:start w:w="70" w:type="dxa"/>
              <w:bottom w:w="60" w:type="dxa"/>
              <w:end w:w="70" w:type="dxa"/>
            </w:tcMar>
          </w:tcPr>
          <w:p>
            <w:r>
              <w:rPr>
                <w:rFonts w:ascii="Arial" w:hAnsi="Arial"/>
                <w:sz w:val="14"/>
              </w:rPr>
              <w:t>DBSCAN sample smallest cluster 0.37%; 11.17% noise.</w:t>
            </w:r>
          </w:p>
        </w:tc>
        <w:tc>
          <w:tcPr>
            <w:tcW w:type="dxa" w:w="2520"/>
            <w:vAlign w:val="center"/>
            <w:tcMar>
              <w:top w:w="60" w:type="dxa"/>
              <w:start w:w="70" w:type="dxa"/>
              <w:bottom w:w="60" w:type="dxa"/>
              <w:end w:w="70" w:type="dxa"/>
            </w:tcMar>
          </w:tcPr>
          <w:p>
            <w:r>
              <w:rPr>
                <w:rFonts w:ascii="Arial" w:hAnsi="Arial"/>
                <w:sz w:val="14"/>
              </w:rPr>
              <w:t>One dominant density region plus sparse fragments.</w:t>
            </w:r>
          </w:p>
        </w:tc>
        <w:tc>
          <w:tcPr>
            <w:tcW w:type="dxa" w:w="2952"/>
            <w:vAlign w:val="center"/>
            <w:tcMar>
              <w:top w:w="60" w:type="dxa"/>
              <w:start w:w="70" w:type="dxa"/>
              <w:bottom w:w="60" w:type="dxa"/>
              <w:end w:w="70" w:type="dxa"/>
            </w:tcMar>
          </w:tcPr>
          <w:p>
            <w:r>
              <w:rPr>
                <w:rFonts w:ascii="Arial" w:hAnsi="Arial"/>
                <w:sz w:val="14"/>
              </w:rPr>
              <w:t>Report as complementary noise/density evidence.</w:t>
            </w:r>
          </w:p>
        </w:tc>
      </w:tr>
      <w:tr>
        <w:tc>
          <w:tcPr>
            <w:tcW w:type="dxa" w:w="1800"/>
            <w:vAlign w:val="center"/>
            <w:tcMar>
              <w:top w:w="60" w:type="dxa"/>
              <w:start w:w="70" w:type="dxa"/>
              <w:bottom w:w="60" w:type="dxa"/>
              <w:end w:w="70" w:type="dxa"/>
            </w:tcMar>
          </w:tcPr>
          <w:p>
            <w:r>
              <w:rPr>
                <w:rFonts w:ascii="Arial" w:hAnsi="Arial"/>
                <w:sz w:val="14"/>
              </w:rPr>
              <w:t>HDBSCAN low coverage</w:t>
            </w:r>
          </w:p>
        </w:tc>
        <w:tc>
          <w:tcPr>
            <w:tcW w:type="dxa" w:w="2952"/>
            <w:vAlign w:val="center"/>
            <w:tcMar>
              <w:top w:w="60" w:type="dxa"/>
              <w:start w:w="70" w:type="dxa"/>
              <w:bottom w:w="60" w:type="dxa"/>
              <w:end w:w="70" w:type="dxa"/>
            </w:tcMar>
          </w:tcPr>
          <w:p>
            <w:r>
              <w:rPr>
                <w:rFonts w:ascii="Arial" w:hAnsi="Arial"/>
                <w:sz w:val="14"/>
              </w:rPr>
              <w:t>39.63% noise in representative sample configuration.</w:t>
            </w:r>
          </w:p>
        </w:tc>
        <w:tc>
          <w:tcPr>
            <w:tcW w:type="dxa" w:w="2520"/>
            <w:vAlign w:val="center"/>
            <w:tcMar>
              <w:top w:w="60" w:type="dxa"/>
              <w:start w:w="70" w:type="dxa"/>
              <w:bottom w:w="60" w:type="dxa"/>
              <w:end w:w="70" w:type="dxa"/>
            </w:tcMar>
          </w:tcPr>
          <w:p>
            <w:r>
              <w:rPr>
                <w:rFonts w:ascii="Arial" w:hAnsi="Arial"/>
                <w:sz w:val="14"/>
              </w:rPr>
              <w:t>Variable density and strict core definition.</w:t>
            </w:r>
          </w:p>
        </w:tc>
        <w:tc>
          <w:tcPr>
            <w:tcW w:type="dxa" w:w="2952"/>
            <w:vAlign w:val="center"/>
            <w:tcMar>
              <w:top w:w="60" w:type="dxa"/>
              <w:start w:w="70" w:type="dxa"/>
              <w:bottom w:w="60" w:type="dxa"/>
              <w:end w:w="70" w:type="dxa"/>
            </w:tcMar>
          </w:tcPr>
          <w:p>
            <w:r>
              <w:rPr>
                <w:rFonts w:ascii="Arial" w:hAnsi="Arial"/>
                <w:sz w:val="14"/>
              </w:rPr>
              <w:t>Not suitable for full-coverage profile assignment.</w:t>
            </w:r>
          </w:p>
        </w:tc>
      </w:tr>
      <w:tr>
        <w:tc>
          <w:tcPr>
            <w:tcW w:type="dxa" w:w="1800"/>
            <w:vAlign w:val="center"/>
            <w:tcMar>
              <w:top w:w="60" w:type="dxa"/>
              <w:start w:w="70" w:type="dxa"/>
              <w:bottom w:w="60" w:type="dxa"/>
              <w:end w:w="70" w:type="dxa"/>
            </w:tcMar>
          </w:tcPr>
          <w:p>
            <w:r>
              <w:rPr>
                <w:rFonts w:ascii="Arial" w:hAnsi="Arial"/>
                <w:sz w:val="14"/>
              </w:rPr>
              <w:t>Changchun shift</w:t>
            </w:r>
          </w:p>
        </w:tc>
        <w:tc>
          <w:tcPr>
            <w:tcW w:type="dxa" w:w="2952"/>
            <w:vAlign w:val="center"/>
            <w:tcMar>
              <w:top w:w="60" w:type="dxa"/>
              <w:start w:w="70" w:type="dxa"/>
              <w:bottom w:w="60" w:type="dxa"/>
              <w:end w:w="70" w:type="dxa"/>
            </w:tcMar>
          </w:tcPr>
          <w:p>
            <w:r>
              <w:rPr>
                <w:rFonts w:ascii="Arial" w:hAnsi="Arial"/>
                <w:sz w:val="14"/>
              </w:rPr>
              <w:t>Held-out Changchun ARI 0.6858; one recording ARI 0.6082.</w:t>
            </w:r>
          </w:p>
        </w:tc>
        <w:tc>
          <w:tcPr>
            <w:tcW w:type="dxa" w:w="2520"/>
            <w:vAlign w:val="center"/>
            <w:tcMar>
              <w:top w:w="60" w:type="dxa"/>
              <w:start w:w="70" w:type="dxa"/>
              <w:bottom w:w="60" w:type="dxa"/>
              <w:end w:w="70" w:type="dxa"/>
            </w:tcMar>
          </w:tcPr>
          <w:p>
            <w:r>
              <w:rPr>
                <w:rFonts w:ascii="Arial" w:hAnsi="Arial"/>
                <w:sz w:val="14"/>
              </w:rPr>
              <w:t>Context-dependent feature distributions/boundaries.</w:t>
            </w:r>
          </w:p>
        </w:tc>
        <w:tc>
          <w:tcPr>
            <w:tcW w:type="dxa" w:w="2952"/>
            <w:vAlign w:val="center"/>
            <w:tcMar>
              <w:top w:w="60" w:type="dxa"/>
              <w:start w:w="70" w:type="dxa"/>
              <w:bottom w:w="60" w:type="dxa"/>
              <w:end w:w="70" w:type="dxa"/>
            </w:tcMar>
          </w:tcPr>
          <w:p>
            <w:r>
              <w:rPr>
                <w:rFonts w:ascii="Arial" w:hAnsi="Arial"/>
                <w:sz w:val="14"/>
              </w:rPr>
              <w:t>Report city sensitivity and retain context fields.</w:t>
            </w:r>
          </w:p>
        </w:tc>
      </w:tr>
    </w:tbl>
    <w:p>
      <w:pPr>
        <w:spacing w:after="0"/>
      </w:pPr>
    </w:p>
    <w:p>
      <w:r>
        <w:br w:type="page"/>
      </w:r>
    </w:p>
    <w:p>
      <w:pPr>
        <w:pStyle w:val="Heading1"/>
      </w:pPr>
      <w:r>
        <w:t>7. Trade-off Discussion</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trPr>
        <w:tc>
          <w:tcPr>
            <w:tcW w:type="dxa" w:w="1584"/>
            <w:shd w:fill="D9EAF7"/>
            <w:vAlign w:val="center"/>
            <w:tcMar>
              <w:top w:w="60" w:type="dxa"/>
              <w:start w:w="70" w:type="dxa"/>
              <w:bottom w:w="60" w:type="dxa"/>
              <w:end w:w="70" w:type="dxa"/>
            </w:tcMar>
          </w:tcPr>
          <w:p>
            <w:pPr>
              <w:jc w:val="center"/>
            </w:pPr>
            <w:r>
              <w:rPr>
                <w:rFonts w:ascii="Arial" w:hAnsi="Arial"/>
                <w:b/>
                <w:color w:val="1F1F1F"/>
                <w:sz w:val="14"/>
              </w:rPr>
              <w:t>Criterion</w:t>
            </w:r>
          </w:p>
        </w:tc>
        <w:tc>
          <w:tcPr>
            <w:tcW w:type="dxa" w:w="1944"/>
            <w:shd w:fill="D9EAF7"/>
            <w:vAlign w:val="center"/>
            <w:tcMar>
              <w:top w:w="60" w:type="dxa"/>
              <w:start w:w="70" w:type="dxa"/>
              <w:bottom w:w="60" w:type="dxa"/>
              <w:end w:w="70" w:type="dxa"/>
            </w:tcMar>
          </w:tcPr>
          <w:p>
            <w:pPr>
              <w:jc w:val="center"/>
            </w:pPr>
            <w:r>
              <w:rPr>
                <w:rFonts w:ascii="Arial" w:hAnsi="Arial"/>
                <w:b/>
                <w:color w:val="1F1F1F"/>
                <w:sz w:val="14"/>
              </w:rPr>
              <w:t>K-Means k=4</w:t>
            </w:r>
          </w:p>
        </w:tc>
        <w:tc>
          <w:tcPr>
            <w:tcW w:type="dxa" w:w="1800"/>
            <w:shd w:fill="D9EAF7"/>
            <w:vAlign w:val="center"/>
            <w:tcMar>
              <w:top w:w="60" w:type="dxa"/>
              <w:start w:w="70" w:type="dxa"/>
              <w:bottom w:w="60" w:type="dxa"/>
              <w:end w:w="70" w:type="dxa"/>
            </w:tcMar>
          </w:tcPr>
          <w:p>
            <w:pPr>
              <w:jc w:val="center"/>
            </w:pPr>
            <w:r>
              <w:rPr>
                <w:rFonts w:ascii="Arial" w:hAnsi="Arial"/>
                <w:b/>
                <w:color w:val="1F1F1F"/>
                <w:sz w:val="14"/>
              </w:rPr>
              <w:t>GMM k=4</w:t>
            </w:r>
          </w:p>
        </w:tc>
        <w:tc>
          <w:tcPr>
            <w:tcW w:type="dxa" w:w="2088"/>
            <w:shd w:fill="D9EAF7"/>
            <w:vAlign w:val="center"/>
            <w:tcMar>
              <w:top w:w="60" w:type="dxa"/>
              <w:start w:w="70" w:type="dxa"/>
              <w:bottom w:w="60" w:type="dxa"/>
              <w:end w:w="70" w:type="dxa"/>
            </w:tcMar>
          </w:tcPr>
          <w:p>
            <w:pPr>
              <w:jc w:val="center"/>
            </w:pPr>
            <w:r>
              <w:rPr>
                <w:rFonts w:ascii="Arial" w:hAnsi="Arial"/>
                <w:b/>
                <w:color w:val="1F1F1F"/>
                <w:sz w:val="14"/>
              </w:rPr>
              <w:t>Density models</w:t>
            </w:r>
          </w:p>
        </w:tc>
        <w:tc>
          <w:tcPr>
            <w:tcW w:type="dxa" w:w="2952"/>
            <w:shd w:fill="D9EAF7"/>
            <w:vAlign w:val="center"/>
            <w:tcMar>
              <w:top w:w="60" w:type="dxa"/>
              <w:start w:w="70" w:type="dxa"/>
              <w:bottom w:w="60" w:type="dxa"/>
              <w:end w:w="70" w:type="dxa"/>
            </w:tcMar>
          </w:tcPr>
          <w:p>
            <w:pPr>
              <w:jc w:val="center"/>
            </w:pPr>
            <w:r>
              <w:rPr>
                <w:rFonts w:ascii="Arial" w:hAnsi="Arial"/>
                <w:b/>
                <w:color w:val="1F1F1F"/>
                <w:sz w:val="14"/>
              </w:rPr>
              <w:t>Conclusion</w:t>
            </w:r>
          </w:p>
        </w:tc>
      </w:tr>
      <w:tr>
        <w:tc>
          <w:tcPr>
            <w:tcW w:type="dxa" w:w="1584"/>
            <w:vAlign w:val="center"/>
            <w:tcMar>
              <w:top w:w="60" w:type="dxa"/>
              <w:start w:w="70" w:type="dxa"/>
              <w:bottom w:w="60" w:type="dxa"/>
              <w:end w:w="70" w:type="dxa"/>
            </w:tcMar>
          </w:tcPr>
          <w:p>
            <w:r>
              <w:rPr>
                <w:rFonts w:ascii="Arial" w:hAnsi="Arial"/>
                <w:sz w:val="14"/>
              </w:rPr>
              <w:t>Internal separation</w:t>
            </w:r>
          </w:p>
        </w:tc>
        <w:tc>
          <w:tcPr>
            <w:tcW w:type="dxa" w:w="1944"/>
            <w:vAlign w:val="center"/>
            <w:tcMar>
              <w:top w:w="60" w:type="dxa"/>
              <w:start w:w="70" w:type="dxa"/>
              <w:bottom w:w="60" w:type="dxa"/>
              <w:end w:w="70" w:type="dxa"/>
            </w:tcMar>
          </w:tcPr>
          <w:p>
            <w:r>
              <w:rPr>
                <w:rFonts w:ascii="Arial" w:hAnsi="Arial"/>
                <w:sz w:val="14"/>
              </w:rPr>
              <w:t>Moderate</w:t>
            </w:r>
          </w:p>
        </w:tc>
        <w:tc>
          <w:tcPr>
            <w:tcW w:type="dxa" w:w="1800"/>
            <w:vAlign w:val="center"/>
            <w:tcMar>
              <w:top w:w="60" w:type="dxa"/>
              <w:start w:w="70" w:type="dxa"/>
              <w:bottom w:w="60" w:type="dxa"/>
              <w:end w:w="70" w:type="dxa"/>
            </w:tcMar>
          </w:tcPr>
          <w:p>
            <w:r>
              <w:rPr>
                <w:rFonts w:ascii="Arial" w:hAnsi="Arial"/>
                <w:sz w:val="14"/>
              </w:rPr>
              <w:t>Lower</w:t>
            </w:r>
          </w:p>
        </w:tc>
        <w:tc>
          <w:tcPr>
            <w:tcW w:type="dxa" w:w="2088"/>
            <w:vAlign w:val="center"/>
            <w:tcMar>
              <w:top w:w="60" w:type="dxa"/>
              <w:start w:w="70" w:type="dxa"/>
              <w:bottom w:w="60" w:type="dxa"/>
              <w:end w:w="70" w:type="dxa"/>
            </w:tcMar>
          </w:tcPr>
          <w:p>
            <w:r>
              <w:rPr>
                <w:rFonts w:ascii="Arial" w:hAnsi="Arial"/>
                <w:sz w:val="14"/>
              </w:rPr>
              <w:t>High on non-noise sample</w:t>
            </w:r>
          </w:p>
        </w:tc>
        <w:tc>
          <w:tcPr>
            <w:tcW w:type="dxa" w:w="2952"/>
            <w:vAlign w:val="center"/>
            <w:tcMar>
              <w:top w:w="60" w:type="dxa"/>
              <w:start w:w="70" w:type="dxa"/>
              <w:bottom w:w="60" w:type="dxa"/>
              <w:end w:w="70" w:type="dxa"/>
            </w:tcMar>
          </w:tcPr>
          <w:p>
            <w:r>
              <w:rPr>
                <w:rFonts w:ascii="Arial" w:hAnsi="Arial"/>
                <w:sz w:val="14"/>
              </w:rPr>
              <w:t>Density metric advantage is partly linked to selective coverage.</w:t>
            </w:r>
          </w:p>
        </w:tc>
      </w:tr>
      <w:tr>
        <w:tc>
          <w:tcPr>
            <w:tcW w:type="dxa" w:w="1584"/>
            <w:vAlign w:val="center"/>
            <w:tcMar>
              <w:top w:w="60" w:type="dxa"/>
              <w:start w:w="70" w:type="dxa"/>
              <w:bottom w:w="60" w:type="dxa"/>
              <w:end w:w="70" w:type="dxa"/>
            </w:tcMar>
          </w:tcPr>
          <w:p>
            <w:r>
              <w:rPr>
                <w:rFonts w:ascii="Arial" w:hAnsi="Arial"/>
                <w:sz w:val="14"/>
              </w:rPr>
              <w:t>Coverage</w:t>
            </w:r>
          </w:p>
        </w:tc>
        <w:tc>
          <w:tcPr>
            <w:tcW w:type="dxa" w:w="1944"/>
            <w:vAlign w:val="center"/>
            <w:tcMar>
              <w:top w:w="60" w:type="dxa"/>
              <w:start w:w="70" w:type="dxa"/>
              <w:bottom w:w="60" w:type="dxa"/>
              <w:end w:w="70" w:type="dxa"/>
            </w:tcMar>
          </w:tcPr>
          <w:p>
            <w:r>
              <w:rPr>
                <w:rFonts w:ascii="Arial" w:hAnsi="Arial"/>
                <w:sz w:val="14"/>
              </w:rPr>
              <w:t>100%</w:t>
            </w:r>
          </w:p>
        </w:tc>
        <w:tc>
          <w:tcPr>
            <w:tcW w:type="dxa" w:w="1800"/>
            <w:vAlign w:val="center"/>
            <w:tcMar>
              <w:top w:w="60" w:type="dxa"/>
              <w:start w:w="70" w:type="dxa"/>
              <w:bottom w:w="60" w:type="dxa"/>
              <w:end w:w="70" w:type="dxa"/>
            </w:tcMar>
          </w:tcPr>
          <w:p>
            <w:r>
              <w:rPr>
                <w:rFonts w:ascii="Arial" w:hAnsi="Arial"/>
                <w:sz w:val="14"/>
              </w:rPr>
              <w:t>100%</w:t>
            </w:r>
          </w:p>
        </w:tc>
        <w:tc>
          <w:tcPr>
            <w:tcW w:type="dxa" w:w="2088"/>
            <w:vAlign w:val="center"/>
            <w:tcMar>
              <w:top w:w="60" w:type="dxa"/>
              <w:start w:w="70" w:type="dxa"/>
              <w:bottom w:w="60" w:type="dxa"/>
              <w:end w:w="70" w:type="dxa"/>
            </w:tcMar>
          </w:tcPr>
          <w:p>
            <w:r>
              <w:rPr>
                <w:rFonts w:ascii="Arial" w:hAnsi="Arial"/>
                <w:sz w:val="14"/>
              </w:rPr>
              <w:t>88.8% / 60.4%</w:t>
            </w:r>
          </w:p>
        </w:tc>
        <w:tc>
          <w:tcPr>
            <w:tcW w:type="dxa" w:w="2952"/>
            <w:vAlign w:val="center"/>
            <w:tcMar>
              <w:top w:w="60" w:type="dxa"/>
              <w:start w:w="70" w:type="dxa"/>
              <w:bottom w:w="60" w:type="dxa"/>
              <w:end w:w="70" w:type="dxa"/>
            </w:tcMar>
          </w:tcPr>
          <w:p>
            <w:r>
              <w:rPr>
                <w:rFonts w:ascii="Arial" w:hAnsi="Arial"/>
                <w:sz w:val="14"/>
              </w:rPr>
              <w:t>K-Means and GMM assign every trajectory.</w:t>
            </w:r>
          </w:p>
        </w:tc>
      </w:tr>
      <w:tr>
        <w:tc>
          <w:tcPr>
            <w:tcW w:type="dxa" w:w="1584"/>
            <w:vAlign w:val="center"/>
            <w:tcMar>
              <w:top w:w="60" w:type="dxa"/>
              <w:start w:w="70" w:type="dxa"/>
              <w:bottom w:w="60" w:type="dxa"/>
              <w:end w:w="70" w:type="dxa"/>
            </w:tcMar>
          </w:tcPr>
          <w:p>
            <w:r>
              <w:rPr>
                <w:rFonts w:ascii="Arial" w:hAnsi="Arial"/>
                <w:sz w:val="14"/>
              </w:rPr>
              <w:t>Interpretability</w:t>
            </w:r>
          </w:p>
        </w:tc>
        <w:tc>
          <w:tcPr>
            <w:tcW w:type="dxa" w:w="1944"/>
            <w:vAlign w:val="center"/>
            <w:tcMar>
              <w:top w:w="60" w:type="dxa"/>
              <w:start w:w="70" w:type="dxa"/>
              <w:bottom w:w="60" w:type="dxa"/>
              <w:end w:w="70" w:type="dxa"/>
            </w:tcMar>
          </w:tcPr>
          <w:p>
            <w:r>
              <w:rPr>
                <w:rFonts w:ascii="Arial" w:hAnsi="Arial"/>
                <w:sz w:val="14"/>
              </w:rPr>
              <w:t>High; clear centroids and four profiles</w:t>
            </w:r>
          </w:p>
        </w:tc>
        <w:tc>
          <w:tcPr>
            <w:tcW w:type="dxa" w:w="1800"/>
            <w:vAlign w:val="center"/>
            <w:tcMar>
              <w:top w:w="60" w:type="dxa"/>
              <w:start w:w="70" w:type="dxa"/>
              <w:bottom w:w="60" w:type="dxa"/>
              <w:end w:w="70" w:type="dxa"/>
            </w:tcMar>
          </w:tcPr>
          <w:p>
            <w:r>
              <w:rPr>
                <w:rFonts w:ascii="Arial" w:hAnsi="Arial"/>
                <w:sz w:val="14"/>
              </w:rPr>
              <w:t>Moderate; probabilistic groups</w:t>
            </w:r>
          </w:p>
        </w:tc>
        <w:tc>
          <w:tcPr>
            <w:tcW w:type="dxa" w:w="2088"/>
            <w:vAlign w:val="center"/>
            <w:tcMar>
              <w:top w:w="60" w:type="dxa"/>
              <w:start w:w="70" w:type="dxa"/>
              <w:bottom w:w="60" w:type="dxa"/>
              <w:end w:w="70" w:type="dxa"/>
            </w:tcMar>
          </w:tcPr>
          <w:p>
            <w:r>
              <w:rPr>
                <w:rFonts w:ascii="Arial" w:hAnsi="Arial"/>
                <w:sz w:val="14"/>
              </w:rPr>
              <w:t>Broad density regions/noise</w:t>
            </w:r>
          </w:p>
        </w:tc>
        <w:tc>
          <w:tcPr>
            <w:tcW w:type="dxa" w:w="2952"/>
            <w:vAlign w:val="center"/>
            <w:tcMar>
              <w:top w:w="60" w:type="dxa"/>
              <w:start w:w="70" w:type="dxa"/>
              <w:bottom w:w="60" w:type="dxa"/>
              <w:end w:w="70" w:type="dxa"/>
            </w:tcMar>
          </w:tcPr>
          <w:p>
            <w:r>
              <w:rPr>
                <w:rFonts w:ascii="Arial" w:hAnsi="Arial"/>
                <w:sz w:val="14"/>
              </w:rPr>
              <w:t>K-Means best supports physical profile summaries.</w:t>
            </w:r>
          </w:p>
        </w:tc>
      </w:tr>
      <w:tr>
        <w:tc>
          <w:tcPr>
            <w:tcW w:type="dxa" w:w="1584"/>
            <w:vAlign w:val="center"/>
            <w:tcMar>
              <w:top w:w="60" w:type="dxa"/>
              <w:start w:w="70" w:type="dxa"/>
              <w:bottom w:w="60" w:type="dxa"/>
              <w:end w:w="70" w:type="dxa"/>
            </w:tcMar>
          </w:tcPr>
          <w:p>
            <w:r>
              <w:rPr>
                <w:rFonts w:ascii="Arial" w:hAnsi="Arial"/>
                <w:sz w:val="14"/>
              </w:rPr>
              <w:t>Stability evidence</w:t>
            </w:r>
          </w:p>
        </w:tc>
        <w:tc>
          <w:tcPr>
            <w:tcW w:type="dxa" w:w="1944"/>
            <w:vAlign w:val="center"/>
            <w:tcMar>
              <w:top w:w="60" w:type="dxa"/>
              <w:start w:w="70" w:type="dxa"/>
              <w:bottom w:w="60" w:type="dxa"/>
              <w:end w:w="70" w:type="dxa"/>
            </w:tcMar>
          </w:tcPr>
          <w:p>
            <w:r>
              <w:rPr>
                <w:rFonts w:ascii="Arial" w:hAnsi="Arial"/>
                <w:sz w:val="14"/>
              </w:rPr>
              <w:t>Strong seed, bootstrap, city, recording tests</w:t>
            </w:r>
          </w:p>
        </w:tc>
        <w:tc>
          <w:tcPr>
            <w:tcW w:type="dxa" w:w="1800"/>
            <w:vAlign w:val="center"/>
            <w:tcMar>
              <w:top w:w="60" w:type="dxa"/>
              <w:start w:w="70" w:type="dxa"/>
              <w:bottom w:w="60" w:type="dxa"/>
              <w:end w:w="70" w:type="dxa"/>
            </w:tcMar>
          </w:tcPr>
          <w:p>
            <w:r>
              <w:rPr>
                <w:rFonts w:ascii="Arial" w:hAnsi="Arial"/>
                <w:sz w:val="14"/>
              </w:rPr>
              <w:t>Weaker internal quality; limited validation priority</w:t>
            </w:r>
          </w:p>
        </w:tc>
        <w:tc>
          <w:tcPr>
            <w:tcW w:type="dxa" w:w="2088"/>
            <w:vAlign w:val="center"/>
            <w:tcMar>
              <w:top w:w="60" w:type="dxa"/>
              <w:start w:w="70" w:type="dxa"/>
              <w:bottom w:w="60" w:type="dxa"/>
              <w:end w:w="70" w:type="dxa"/>
            </w:tcMar>
          </w:tcPr>
          <w:p>
            <w:r>
              <w:rPr>
                <w:rFonts w:ascii="Arial" w:hAnsi="Arial"/>
                <w:sz w:val="14"/>
              </w:rPr>
              <w:t>Parameter sensitive</w:t>
            </w:r>
          </w:p>
        </w:tc>
        <w:tc>
          <w:tcPr>
            <w:tcW w:type="dxa" w:w="2952"/>
            <w:vAlign w:val="center"/>
            <w:tcMar>
              <w:top w:w="60" w:type="dxa"/>
              <w:start w:w="70" w:type="dxa"/>
              <w:bottom w:w="60" w:type="dxa"/>
              <w:end w:w="70" w:type="dxa"/>
            </w:tcMar>
          </w:tcPr>
          <w:p>
            <w:r>
              <w:rPr>
                <w:rFonts w:ascii="Arial" w:hAnsi="Arial"/>
                <w:sz w:val="14"/>
              </w:rPr>
              <w:t>K-Means has the most complete validation evidence.</w:t>
            </w:r>
          </w:p>
        </w:tc>
      </w:tr>
      <w:tr>
        <w:tc>
          <w:tcPr>
            <w:tcW w:type="dxa" w:w="1584"/>
            <w:vAlign w:val="center"/>
            <w:tcMar>
              <w:top w:w="60" w:type="dxa"/>
              <w:start w:w="70" w:type="dxa"/>
              <w:bottom w:w="60" w:type="dxa"/>
              <w:end w:w="70" w:type="dxa"/>
            </w:tcMar>
          </w:tcPr>
          <w:p>
            <w:r>
              <w:rPr>
                <w:rFonts w:ascii="Arial" w:hAnsi="Arial"/>
                <w:sz w:val="14"/>
              </w:rPr>
              <w:t>Complexity</w:t>
            </w:r>
          </w:p>
        </w:tc>
        <w:tc>
          <w:tcPr>
            <w:tcW w:type="dxa" w:w="1944"/>
            <w:vAlign w:val="center"/>
            <w:tcMar>
              <w:top w:w="60" w:type="dxa"/>
              <w:start w:w="70" w:type="dxa"/>
              <w:bottom w:w="60" w:type="dxa"/>
              <w:end w:w="70" w:type="dxa"/>
            </w:tcMar>
          </w:tcPr>
          <w:p>
            <w:r>
              <w:rPr>
                <w:rFonts w:ascii="Arial" w:hAnsi="Arial"/>
                <w:sz w:val="14"/>
              </w:rPr>
              <w:t>Low–moderate</w:t>
            </w:r>
          </w:p>
        </w:tc>
        <w:tc>
          <w:tcPr>
            <w:tcW w:type="dxa" w:w="1800"/>
            <w:vAlign w:val="center"/>
            <w:tcMar>
              <w:top w:w="60" w:type="dxa"/>
              <w:start w:w="70" w:type="dxa"/>
              <w:bottom w:w="60" w:type="dxa"/>
              <w:end w:w="70" w:type="dxa"/>
            </w:tcMar>
          </w:tcPr>
          <w:p>
            <w:r>
              <w:rPr>
                <w:rFonts w:ascii="Arial" w:hAnsi="Arial"/>
                <w:sz w:val="14"/>
              </w:rPr>
              <w:t>Higher covariance complexity</w:t>
            </w:r>
          </w:p>
        </w:tc>
        <w:tc>
          <w:tcPr>
            <w:tcW w:type="dxa" w:w="2088"/>
            <w:vAlign w:val="center"/>
            <w:tcMar>
              <w:top w:w="60" w:type="dxa"/>
              <w:start w:w="70" w:type="dxa"/>
              <w:bottom w:w="60" w:type="dxa"/>
              <w:end w:w="70" w:type="dxa"/>
            </w:tcMar>
          </w:tcPr>
          <w:p>
            <w:r>
              <w:rPr>
                <w:rFonts w:ascii="Arial" w:hAnsi="Arial"/>
                <w:sz w:val="14"/>
              </w:rPr>
              <w:t>High parameter/context sensitivity</w:t>
            </w:r>
          </w:p>
        </w:tc>
        <w:tc>
          <w:tcPr>
            <w:tcW w:type="dxa" w:w="2952"/>
            <w:vAlign w:val="center"/>
            <w:tcMar>
              <w:top w:w="60" w:type="dxa"/>
              <w:start w:w="70" w:type="dxa"/>
              <w:bottom w:w="60" w:type="dxa"/>
              <w:end w:w="70" w:type="dxa"/>
            </w:tcMar>
          </w:tcPr>
          <w:p>
            <w:r>
              <w:rPr>
                <w:rFonts w:ascii="Arial" w:hAnsi="Arial"/>
                <w:sz w:val="14"/>
              </w:rPr>
              <w:t>K-Means is easiest to reproduce and explain.</w:t>
            </w:r>
          </w:p>
        </w:tc>
      </w:tr>
      <w:tr>
        <w:tc>
          <w:tcPr>
            <w:tcW w:type="dxa" w:w="1584"/>
            <w:vAlign w:val="center"/>
            <w:tcMar>
              <w:top w:w="60" w:type="dxa"/>
              <w:start w:w="70" w:type="dxa"/>
              <w:bottom w:w="60" w:type="dxa"/>
              <w:end w:w="70" w:type="dxa"/>
            </w:tcMar>
          </w:tcPr>
          <w:p>
            <w:r>
              <w:rPr>
                <w:rFonts w:ascii="Arial" w:hAnsi="Arial"/>
                <w:sz w:val="14"/>
              </w:rPr>
              <w:t>Practical fit</w:t>
            </w:r>
          </w:p>
        </w:tc>
        <w:tc>
          <w:tcPr>
            <w:tcW w:type="dxa" w:w="1944"/>
            <w:vAlign w:val="center"/>
            <w:tcMar>
              <w:top w:w="60" w:type="dxa"/>
              <w:start w:w="70" w:type="dxa"/>
              <w:bottom w:w="60" w:type="dxa"/>
              <w:end w:w="70" w:type="dxa"/>
            </w:tcMar>
          </w:tcPr>
          <w:p>
            <w:r>
              <w:rPr>
                <w:rFonts w:ascii="Arial" w:hAnsi="Arial"/>
                <w:sz w:val="14"/>
              </w:rPr>
              <w:t>Primary model</w:t>
            </w:r>
          </w:p>
        </w:tc>
        <w:tc>
          <w:tcPr>
            <w:tcW w:type="dxa" w:w="1800"/>
            <w:vAlign w:val="center"/>
            <w:tcMar>
              <w:top w:w="60" w:type="dxa"/>
              <w:start w:w="70" w:type="dxa"/>
              <w:bottom w:w="60" w:type="dxa"/>
              <w:end w:w="70" w:type="dxa"/>
            </w:tcMar>
          </w:tcPr>
          <w:p>
            <w:r>
              <w:rPr>
                <w:rFonts w:ascii="Arial" w:hAnsi="Arial"/>
                <w:sz w:val="14"/>
              </w:rPr>
              <w:t>Not selected</w:t>
            </w:r>
          </w:p>
        </w:tc>
        <w:tc>
          <w:tcPr>
            <w:tcW w:type="dxa" w:w="2088"/>
            <w:vAlign w:val="center"/>
            <w:tcMar>
              <w:top w:w="60" w:type="dxa"/>
              <w:start w:w="70" w:type="dxa"/>
              <w:bottom w:w="60" w:type="dxa"/>
              <w:end w:w="70" w:type="dxa"/>
            </w:tcMar>
          </w:tcPr>
          <w:p>
            <w:r>
              <w:rPr>
                <w:rFonts w:ascii="Arial" w:hAnsi="Arial"/>
                <w:sz w:val="14"/>
              </w:rPr>
              <w:t>Complementary diagnostic</w:t>
            </w:r>
          </w:p>
        </w:tc>
        <w:tc>
          <w:tcPr>
            <w:tcW w:type="dxa" w:w="2952"/>
            <w:vAlign w:val="center"/>
            <w:tcMar>
              <w:top w:w="60" w:type="dxa"/>
              <w:start w:w="70" w:type="dxa"/>
              <w:bottom w:w="60" w:type="dxa"/>
              <w:end w:w="70" w:type="dxa"/>
            </w:tcMar>
          </w:tcPr>
          <w:p>
            <w:r>
              <w:rPr>
                <w:rFonts w:ascii="Arial" w:hAnsi="Arial"/>
                <w:sz w:val="14"/>
              </w:rPr>
              <w:t>Use density models to flag sparse structure, not replace full profiling.</w:t>
            </w:r>
          </w:p>
        </w:tc>
      </w:tr>
    </w:tbl>
    <w:p>
      <w:pPr>
        <w:spacing w:after="0"/>
      </w:pPr>
    </w:p>
    <w:p>
      <w:pPr>
        <w:pStyle w:val="Heading1"/>
      </w:pPr>
      <w:r>
        <w:t>8. Experimental Conclusion</w:t>
      </w:r>
    </w:p>
    <w:p>
      <w:r>
        <w:rPr>
          <w:rFonts w:ascii="Arial" w:hAnsi="Arial"/>
          <w:i w:val="0"/>
          <w:sz w:val="19"/>
        </w:rPr>
        <w:t>K-Means k=4 is selected as the primary model because it provides the best overall balance of full coverage, stable four-profile granularity, recording robustness, and interpretability. MiniBatch K-Means offers no necessary scalability advantage at this dataset size, GMM produces weaker separation, and density models identify useful broad structure/noise but sacrifice coverage and cluster balance.</w:t>
      </w:r>
    </w:p>
    <w:tbl>
      <w:tblPr>
        <w:tblW w:type="auto" w:w="0"/>
        <w:jc w:val="center"/>
        <w:tblLayout w:type="autofit"/>
        <w:tblLook w:firstColumn="1" w:firstRow="1" w:lastColumn="0" w:lastRow="0" w:noHBand="0" w:noVBand="1" w:val="04A0"/>
      </w:tblPr>
      <w:tblGrid>
        <w:gridCol w:w="10570"/>
      </w:tblGrid>
      <w:tr>
        <w:tc>
          <w:tcPr>
            <w:tcW w:type="dxa" w:w="10570"/>
            <w:shd w:fill="D9EAF7"/>
            <w:tcMar>
              <w:top w:w="80" w:type="dxa"/>
              <w:start w:w="100" w:type="dxa"/>
              <w:bottom w:w="80" w:type="dxa"/>
              <w:end w:w="100" w:type="dxa"/>
            </w:tcMar>
          </w:tcPr>
          <w:p>
            <w:r>
              <w:rPr>
                <w:rFonts w:ascii="Arial" w:hAnsi="Arial"/>
                <w:b/>
                <w:color w:val="1F4E78"/>
                <w:sz w:val="19"/>
              </w:rPr>
              <w:t>Direct answer</w:t>
              <w:br/>
            </w:r>
            <w:r>
              <w:rPr>
                <w:rFonts w:ascii="Arial" w:hAnsi="Arial"/>
                <w:sz w:val="18"/>
              </w:rPr>
              <w:t>The best model is not the configuration with the highest standalone Silhouette. The selected model is the one that most reliably converts all valid trajectories into meaningful, reproducible behavior profiles across different recordings and cities.</w:t>
            </w:r>
          </w:p>
        </w:tc>
      </w:tr>
    </w:tbl>
    <w:sectPr w:rsidR="00FC693F" w:rsidRPr="0006063C" w:rsidSect="00034616">
      <w:headerReference w:type="default" r:id="rId9"/>
      <w:footerReference w:type="default" r:id="rId10"/>
      <w:pgSz w:w="12240" w:h="15840"/>
      <w:pgMar w:top="835" w:right="835" w:bottom="835" w:left="83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F4E78"/>
        <w:sz w:val="16"/>
      </w:rPr>
      <w:t>DTA301 – Data Analysis | Group 3 | Deliverable D4 – Experiment &amp;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F4E78"/>
      <w:sz w:val="21"/>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100"/>
      <w:contextualSpacing/>
    </w:pPr>
    <w:rPr>
      <w:rFonts w:asciiTheme="majorHAnsi" w:eastAsiaTheme="majorEastAsia" w:hAnsiTheme="majorHAnsi" w:cstheme="majorBidi" w:ascii="Arial" w:hAnsi="Arial"/>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Vehicle Behavior Analysis Using Real-World Trajectory Data</dc:title>
  <dc:subject>DTA301 RBL Project - Vehicle Behavior Analysis Using Real-World Trajectory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