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오산 청소년 위기징후 평가연계 시스템</w:t>
      </w:r>
    </w:p>
    <w:p>
      <w:pPr>
        <w:pStyle w:val="ArticleSubtitle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 xml:space="preserve">모델 구조·지역자원 연결·AI 기반 가상검수와 실증 타당화 · 2026.10.26 개정판</w:t>
      </w:r>
    </w:p>
    <w:p>
      <w:pPr>
        <w:pStyle w:val="ArticleNote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본 자료의 표·화살표·설명은 Word에서 직접 편집할 수 있는 요소로 구성하였습니다.</w:t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1. 평가모델과 후속 지원모델의 관계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단일 판정 원본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해석·추론 지원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실행·자원 지원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CORE / 25문항·100점</w:t>
              <w:br/>
              <w:t>미상·안전·지원 수준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ICSI / 문항·24교차</w:t>
              <w:br/>
              <w:t>OY-CIE / 맥락추론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RRA / 기관·서비스 후보</w:t>
              <w:br/>
              <w:t>현재 자격·접수 여부 확인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↓ 공식 결과만 생성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NCB / 서술-근거 대조</w:t>
              <w:br/>
              <w:t>K-CARR / 한국어 사례판독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↓ 담당·시점별 실제 이용상태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CORE 원응답 불변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→ ICMS / 종합사정·협의·서비스계획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→ 재사정·성과·사후관리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모든 해석·자원추천은 공식 원점수와 신고·보호 절차를 변경하지 않습니다. 학생 서술과 기존 기관의 실제 제공상태는 별도 사실확인이 필요합니다.</w:t>
      </w:r>
    </w:p>
    <w:p>
      <w:pPr>
        <w:pStyle w:val="ArticleSmall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 xml:space="preserve">구조 해석: CORE가 원점수·미상·안전상태를 산정한다. 개편 후 해석지는 문항별 앵커와 23개 교차 패턴으로 심층 해석을 만들고, 서술기록 분석은 선택 서술을 척도와 대조한다. 계획은 실무자 검토 전 초안이며 자원 후보의 실제 개시는 기관 확인기록으로만 판단한다.</w:t>
      </w:r>
    </w:p>
    <w:p>
      <w:r>
        <w:br w:type="page"/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2. 지역자원 연계의 닫힌 고리(closed loop)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평가·사정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적합성·접수 검토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의뢰·사후 확인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Q번호·점수·영역</w:t>
              <w:br/>
              <w:t>학생 희망·강점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욕구와 서비스 범위 대조</w:t>
              <w:br/>
              <w:t>기관·서비스 ID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연계 후보에 대한 문의 기록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안전 여부와 서술 근거</w:t>
              <w:br/>
              <w:t>정보원·미상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연령·관할·대상·비용</w:t>
              <w:br/>
              <w:t>모집회차·대기·종료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적법한 의뢰·실제 접수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학생 우선 필요 확정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담당부서·확인일·공식 출처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실제 제공 개시·생활 변화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↑ 재사정 결과 반영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← 부적합·대기시 대체서비스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→ 점검·종결·사후관리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기관의 존재와 현재 모집 가능 여부는 다릅니다. 추천 → 문의 → 의뢰 → 접수 → 실제 제공 → 생활변화는 각각 다른 사건이며 같은 데이터 값으로 처리하면 안 됩니다.</w:t>
      </w:r>
    </w:p>
    <w:p>
      <w:r>
        <w:br w:type="page"/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3. AI 기반 가상검수와 실제 타당화 연구의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30"/>
        <w:gridCol w:w="7030"/>
      </w:tblGrid>
      <w:tr>
        <w:tc>
          <w:tcPr>
            <w:tcW w:type="dxa" w:w="7030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기술·가상검수(기존 수행기록)</w:t>
            </w:r>
          </w:p>
        </w:tc>
        <w:tc>
          <w:tcPr>
            <w:tcW w:type="dxa" w:w="7030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독립적 타당화(향후 제안)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합성 입력·가상사례 구성</w:t>
              <w:br/>
              <w:t>공개사례의 개발용 코딩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내용타당도 전문가 검토·학생 인지면접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CORE 예상값과 모델 출력 대조</w:t>
              <w:br/>
              <w:t>안전·미상·점수 불변조건 점검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독립 평가자 블라인드 준거</w:t>
              <w:br/>
              <w:t>다기관 채점자 간 일치도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오류 원인 분류·로직 조정</w:t>
              <w:br/>
              <w:t>동일·신규 시드 회귀검사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실제 학생 사례 및 서비스 결과의 전향적 추적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정당한 결론: 지정조건의 계산 재현성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가능한 결론: 실제 적용 타당도·연계 효과·공정성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기존 합성입력 50만 건의 지정 기술검사 결과는 학생 50만 명을 검증했다는 의미가 아닙니다. 규칙기반 AI 유사 검수에서의 내부 일치도를 실제 예측 민감도·특이도로 해석할 수 없습니다.</w:t>
      </w:r>
    </w:p>
    <w:p>
      <w:r>
        <w:br w:type="page"/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4. 개선·검증 체계 및 단계별 수용기준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단계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시스템화 과제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검증 수준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P0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점수·미상·안전 분기 온·오프라인 동등성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공식 계산의 자동 회귀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P1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기관-서비스-회차-접수상태 DB 정비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공식 근거·확인시점 검증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P2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의뢰→접수→제공→재사정 추적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서비스 실제 이용 기록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P3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가상 반례·전문가 독립 준거 대비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오류 유형별 블라인드 평가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P4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외부 실제 사례 연구와 법·윤리 검토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타당도·효과·집단별 공정성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실제 정보 공유와 외부 시스템 API 연계는 법적 근거·목적 제한·접근권한·감사기록 및 실무자 책임체계의 검토가 완료된 뒤에만 추진할 수 있습니다.</w:t>
      </w:r>
    </w:p>
    <w:p>
      <w:pPr>
        <w:pStyle w:val="ArticleH1"/>
        <w:pageBreakBefore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 xml:space="preserve">5. 화면 단계와 모듈의 대응(2026.10.26)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화면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사용 모듈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주의할 점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01 선별평가·결과해석 / ① 척도 해석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CORE, SUPPORT-5, 문항 지식, 교차 패턴, 심층 해석, 보조지표 도식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맨 위 5단계는 보조지표. 공식 판정은 CORE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② 서술기록 분석 · ③ 통합 사정의견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서술기록 분석, 통합 사정(게이트웨이)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서술은 점수를 바꾸지 않음. 내보내기는 “서술 포함” 선택 시에만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02 지역자원 연계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자원 모델·자원 카드 세부(support-detail)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사업 존재 ≠ 지금 신청 가능. 확인 배지 확인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03 사례개념화·개입계획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사례사정·계획·관계도(가계도·생태도)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계획은 협의 전 초안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04 AI 사례자문 작업실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「AI에 묻기」 패널·외부 AI 요청문·자문 모음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자동 전송 없음. 답변은 탭 안에서만 유지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05 사례기록·모니터링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사례기록 작업대(workbench)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자동 영구 저장 없음. 저장·출력 전 개인정보 확인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 xml:space="preserve">화면 단계 명칭은 2026년 10월 26일 운영 사이트 기준이다. 내부 코드의 단계 번호와 화면 번호는 일치하지 않을 수 있다.</w:t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 xml:space="preserve">6. 함께 표시되는 세 가지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표시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산출 규칙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지위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CORE 지원검토 단계 (0~3, 보류)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지원집중 영역 수와 3~4점 문항 수, 미상 시 보류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공식 판정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SUPPORT-5 통합지원 단계 (1~5)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점수 구간·응답 패턴 하한·안전 하한 중 최댓값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개발형 보조지표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개입 수준 (5수준)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CORE 단계와 안전 신호(서술 안전 단서 포함)로 제안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사례관리 강도 초안, 기관 기준 확인 필요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 xml:space="preserve">안전문항 양성과 긴급 신호는 세 표시보다 항상 앞선다. 6·9·19번 각 3점 가상 응답은 CORE 3단계, SUPPORT-5 제4단계, 개입 수준 집중 사례관리(다기관)로 표시된다(코드 재실행, 2026.10.26).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276" w:right="1304" w:bottom="1191" w:left="1304" w:header="624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 w:cs="NanumGothic"/>
        <w:color w:val="4A4E55"/>
        <w:sz w:val="15"/>
        <w:lang w:val="ko-KR" w:eastAsia="ko-KR"/>
      </w:rPr>
      <w:t xml:space="preserve">오산 청소년 위기징후 평가연계 시스템  ·  비표준화 TEST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4A4E55"/>
        <w:sz w:val="14"/>
        <w:lang w:val="ko-KR" w:eastAsia="ko-KR"/>
      </w:rPr>
      <w:t>OY-RALS  |  RESEARCH &amp;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9" w:lineRule="auto" w:after="0"/>
      <w:ind w:firstLine="198"/>
    </w:pPr>
    <w:rPr>
      <w:rFonts w:ascii="NanumMyeongjo" w:hAnsi="NanumMyeongjo"/>
      <w:color w:val="181B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Title"/>
    <w:pPr>
      <w:keepNext/>
      <w:widowControl/>
      <w:spacing w:before="200" w:after="280" w:line="324" w:lineRule="auto"/>
      <w:ind w:firstLine="0"/>
      <w:jc w:val="center"/>
    </w:pPr>
    <w:rPr>
      <w:rFonts w:ascii="NanumMyeongjo" w:hAnsi="NanumMyeongjo"/>
      <w:b/>
      <w:color w:val="181B20"/>
      <w:sz w:val="36"/>
    </w:rPr>
  </w:style>
  <w:style w:type="paragraph" w:customStyle="1" w:styleId="ArticleSubtitle">
    <w:name w:val="ArticleSubtitle"/>
    <w:pPr>
      <w:keepNext/>
      <w:widowControl/>
      <w:spacing w:before="100" w:after="240" w:line="348" w:lineRule="auto"/>
      <w:ind w:firstLine="0"/>
      <w:jc w:val="center"/>
    </w:pPr>
    <w:rPr>
      <w:rFonts w:ascii="NanumGothic" w:hAnsi="NanumGothic"/>
      <w:b w:val="0"/>
      <w:color w:val="4A4E55"/>
      <w:sz w:val="22"/>
    </w:rPr>
  </w:style>
  <w:style w:type="paragraph" w:customStyle="1" w:styleId="ArticleMeta">
    <w:name w:val="ArticleMeta"/>
    <w:pPr>
      <w:keepNext w:val="0"/>
      <w:widowControl/>
      <w:spacing w:before="80" w:after="120" w:line="324" w:lineRule="auto"/>
      <w:ind w:firstLine="0"/>
      <w:jc w:val="center"/>
    </w:pPr>
    <w:rPr>
      <w:rFonts w:ascii="NanumGothic" w:hAnsi="NanumGothic"/>
      <w:b w:val="0"/>
      <w:color w:val="4A4E55"/>
      <w:sz w:val="18"/>
    </w:rPr>
  </w:style>
  <w:style w:type="paragraph" w:customStyle="1" w:styleId="ArticleH1">
    <w:name w:val="ArticleH1"/>
    <w:pPr>
      <w:keepNext/>
      <w:widowControl/>
      <w:spacing w:before="360" w:after="180" w:line="336" w:lineRule="auto"/>
      <w:ind w:firstLine="0"/>
    </w:pPr>
    <w:rPr>
      <w:rFonts w:ascii="NanumMyeongjo" w:hAnsi="NanumMyeongjo"/>
      <w:b/>
      <w:color w:val="181B20"/>
      <w:sz w:val="27"/>
    </w:rPr>
  </w:style>
  <w:style w:type="paragraph" w:customStyle="1" w:styleId="ArticleH2">
    <w:name w:val="ArticleH2"/>
    <w:pPr>
      <w:keepNext/>
      <w:widowControl/>
      <w:spacing w:before="260" w:after="120" w:line="348" w:lineRule="auto"/>
      <w:ind w:firstLine="0"/>
    </w:pPr>
    <w:rPr>
      <w:rFonts w:ascii="NanumGothic" w:hAnsi="NanumGothic"/>
      <w:b/>
      <w:color w:val="181B20"/>
      <w:sz w:val="22"/>
    </w:rPr>
  </w:style>
  <w:style w:type="paragraph" w:customStyle="1" w:styleId="ArticleH3">
    <w:name w:val="ArticleH3"/>
    <w:pPr>
      <w:keepNext/>
      <w:widowControl/>
      <w:spacing w:before="180" w:after="80" w:line="336" w:lineRule="auto"/>
      <w:ind w:firstLine="0"/>
    </w:pPr>
    <w:rPr>
      <w:rFonts w:ascii="NanumGothic" w:hAnsi="NanumGothic"/>
      <w:b/>
      <w:color w:val="181B20"/>
      <w:sz w:val="20"/>
    </w:rPr>
  </w:style>
  <w:style w:type="paragraph" w:customStyle="1" w:styleId="ArticleBody">
    <w:name w:val="ArticleBody"/>
    <w:pPr>
      <w:keepNext w:val="0"/>
      <w:widowControl/>
      <w:spacing w:before="0" w:after="0" w:line="379" w:lineRule="auto"/>
      <w:ind w:firstLine="198"/>
    </w:pPr>
    <w:rPr>
      <w:rFonts w:ascii="NanumMyeongjo" w:hAnsi="NanumMyeongjo"/>
      <w:b w:val="0"/>
      <w:color w:val="181B20"/>
      <w:sz w:val="20"/>
    </w:rPr>
  </w:style>
  <w:style w:type="paragraph" w:customStyle="1" w:styleId="ArticleSmall">
    <w:name w:val="ArticleSmall"/>
    <w:pPr>
      <w:keepNext w:val="0"/>
      <w:widowControl/>
      <w:spacing w:before="0" w:after="60" w:line="350" w:lineRule="auto"/>
      <w:ind w:firstLine="198"/>
    </w:pPr>
    <w:rPr>
      <w:rFonts w:ascii="NanumMyeongjo" w:hAnsi="NanumMyeongjo"/>
      <w:b w:val="0"/>
      <w:color w:val="181B20"/>
      <w:sz w:val="19"/>
    </w:rPr>
  </w:style>
  <w:style w:type="paragraph" w:customStyle="1" w:styleId="ArticleNote">
    <w:name w:val="ArticleNote"/>
    <w:pPr>
      <w:keepNext w:val="0"/>
      <w:widowControl/>
      <w:spacing w:before="80" w:after="160" w:line="336" w:lineRule="auto"/>
      <w:ind w:firstLine="0"/>
    </w:pPr>
    <w:rPr>
      <w:rFonts w:ascii="NanumMyeongjo" w:hAnsi="NanumMyeongjo"/>
      <w:b w:val="0"/>
      <w:color w:val="4A4E55"/>
      <w:sz w:val="18"/>
    </w:rPr>
  </w:style>
  <w:style w:type="paragraph" w:customStyle="1" w:styleId="ArticleCaption">
    <w:name w:val="ArticleCaption"/>
    <w:pPr>
      <w:keepNext w:val="0"/>
      <w:widowControl/>
      <w:spacing w:before="100" w:after="140" w:line="336" w:lineRule="auto"/>
      <w:ind w:firstLine="0"/>
    </w:pPr>
    <w:rPr>
      <w:rFonts w:ascii="NanumMyeongjo" w:hAnsi="NanumMyeongjo"/>
      <w:b w:val="0"/>
      <w:color w:val="4A4E55"/>
      <w:sz w:val="18"/>
    </w:rPr>
  </w:style>
  <w:style w:type="paragraph" w:customStyle="1" w:styleId="ArticleTableLabel">
    <w:name w:val="ArticleTableLabel"/>
    <w:pPr>
      <w:keepNext/>
      <w:widowControl/>
      <w:spacing w:before="160" w:after="80" w:line="336" w:lineRule="auto"/>
      <w:ind w:firstLine="0"/>
    </w:pPr>
    <w:rPr>
      <w:rFonts w:ascii="NanumGothic" w:hAnsi="NanumGothic"/>
      <w:b/>
      <w:color w:val="181B20"/>
      <w:sz w:val="18"/>
    </w:rPr>
  </w:style>
  <w:style w:type="paragraph" w:customStyle="1" w:styleId="ArticleTOC">
    <w:name w:val="ArticleTOC"/>
    <w:pPr>
      <w:keepNext w:val="0"/>
      <w:widowControl/>
      <w:spacing w:before="40" w:after="60" w:line="372" w:lineRule="auto"/>
      <w:ind w:firstLine="0"/>
    </w:pPr>
    <w:rPr>
      <w:rFonts w:ascii="NanumMyeongjo" w:hAnsi="NanumMyeongjo"/>
      <w:b w:val="0"/>
      <w:color w:val="181B20"/>
      <w:sz w:val="20"/>
    </w:rPr>
  </w:style>
  <w:style w:type="paragraph" w:customStyle="1" w:styleId="ArticleReference">
    <w:name w:val="ArticleReference"/>
    <w:pPr>
      <w:keepNext w:val="0"/>
      <w:widowControl/>
      <w:spacing w:before="0" w:after="80" w:line="343" w:lineRule="auto"/>
      <w:ind w:firstLine="0"/>
    </w:pPr>
    <w:rPr>
      <w:rFonts w:ascii="NanumMyeongjo" w:hAnsi="NanumMyeongjo"/>
      <w:b w:val="0"/>
      <w:color w:val="181B20"/>
      <w:sz w:val="18"/>
    </w:rPr>
  </w:style>
  <w:style w:type="paragraph" w:customStyle="1" w:styleId="ArticleAbstract">
    <w:name w:val="ArticleAbstract"/>
    <w:pPr>
      <w:keepNext w:val="0"/>
      <w:widowControl/>
      <w:spacing w:before="0" w:after="40" w:line="372" w:lineRule="auto"/>
      <w:ind w:firstLine="0"/>
    </w:pPr>
    <w:rPr>
      <w:rFonts w:ascii="NanumMyeongjo" w:hAnsi="NanumMyeongjo"/>
      <w:b w:val="0"/>
      <w:color w:val="181B20"/>
      <w:sz w:val="19"/>
    </w:rPr>
  </w:style>
  <w:style w:type="paragraph" w:customStyle="1" w:styleId="ArticleGuide">
    <w:name w:val="ArticleGuide"/>
    <w:pPr>
      <w:keepNext w:val="0"/>
      <w:widowControl/>
      <w:spacing w:before="120" w:after="140" w:line="348" w:lineRule="auto"/>
      <w:ind w:firstLine="0"/>
    </w:pPr>
    <w:rPr>
      <w:rFonts w:ascii="NanumGothic" w:hAnsi="NanumGothic"/>
      <w:b w:val="0"/>
      <w:color w:val="4A4E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OY-RALS 모델·자원·AI 구조도 (개정판)</dc:title>
  <dc:subject>현장 검토용 비표준화 TEST 도구의 연구 및 기술검토</dc:subject>
  <dc:creator>오산세교종합사회복지관 김지훈</dc:creator>
  <cp:keywords/>
  <dc:description/>
  <cp:lastModifiedBy/>
  <cp:revision>1</cp:revision>
  <dcterms:created xsi:type="dcterms:W3CDTF">2026-10-26T12:00:00Z</dcterms:created>
  <dcterms:modified xsi:type="dcterms:W3CDTF">2026-10-26T12:00:00Z</dcterms:modified>
  <cp:category/>
</cp:coreProperties>
</file>