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Meta"/>
      </w:pPr>
      <w:r>
        <w:rPr>
          <w:rFonts w:ascii="NanumMyeongjo" w:hAnsi="NanumMyeongjo" w:eastAsia="NanumMyeongjo" w:cs="NanumMyeongjo"/>
          <w:b w:val="0"/>
          <w:i w:val="0"/>
          <w:lang w:val="ko-KR" w:eastAsia="ko-KR"/>
        </w:rPr>
        <w:t xml:space="preserve">연구 및 운영 고도화 보고서 / 2026.10.26 개정판</w:t>
      </w:r>
    </w:p>
    <w:p>
      <w:pPr>
        <w:pStyle w:val="ArticleTitle"/>
      </w:pPr>
      <w:r>
        <w:rPr>
          <w:rFonts w:ascii="NanumMyeongjo" w:hAnsi="NanumMyeongjo" w:eastAsia="NanumMyeongjo" w:cs="NanumMyeongjo"/>
          <w:b w:val="0"/>
          <w:i w:val="0"/>
          <w:lang w:val="ko-KR" w:eastAsia="ko-KR"/>
        </w:rPr>
        <w:t>오산 청소년 위기징후 평가연계 시스템</w:t>
      </w:r>
    </w:p>
    <w:p>
      <w:pPr>
        <w:pStyle w:val="ArticleSubtitle"/>
      </w:pPr>
      <w:r>
        <w:rPr>
          <w:rFonts w:ascii="NanumMyeongjo" w:hAnsi="NanumMyeongjo" w:eastAsia="NanumMyeongjo" w:cs="NanumMyeongjo"/>
          <w:b w:val="0"/>
          <w:i w:val="0"/>
          <w:lang w:val="ko-KR" w:eastAsia="ko-KR"/>
        </w:rPr>
        <w:t>척도 해석·AI 기반 가상검수·자원연계·후속 사례관리의 통합 설계 및 검증 과제</w:t>
      </w:r>
    </w:p>
    <w:p>
      <w:pPr>
        <w:pStyle w:val="ArticleH2"/>
      </w:pPr>
      <w:r>
        <w:rPr>
          <w:rFonts w:ascii="NanumMyeongjo" w:hAnsi="NanumMyeongjo" w:eastAsia="NanumMyeongjo" w:cs="NanumMyeongjo"/>
          <w:b w:val="0"/>
          <w:i w:val="0"/>
          <w:lang w:val="ko-KR" w:eastAsia="ko-KR"/>
        </w:rPr>
        <w:t xml:space="preserve">학술논문 형식의 연구·기술검토 보고서(확장판 · 개정판)</w:t>
      </w:r>
    </w:p>
    <w:p>
      <w:pPr>
        <w:pStyle w:val="ArticleBody"/>
        <w:jc w:val="both"/>
      </w:pPr>
      <w:r>
        <w:rPr>
          <w:rFonts w:ascii="NanumMyeongjo" w:hAnsi="NanumMyeongjo" w:eastAsia="NanumMyeongjo" w:cs="NanumMyeongjo"/>
          <w:b w:val="0"/>
          <w:i w:val="0"/>
          <w:lang w:val="ko-KR" w:eastAsia="ko-KR"/>
        </w:rPr>
        <w:t>기획·개발: 김지훈 / 오산세교종합사회복지관 지역사랑팀 팀장</w:t>
      </w:r>
    </w:p>
    <w:p>
      <w:pPr>
        <w:pStyle w:val="ArticleSmall"/>
      </w:pPr>
      <w:r>
        <w:rPr>
          <w:rFonts w:ascii="NanumMyeongjo" w:hAnsi="NanumMyeongjo" w:eastAsia="NanumMyeongjo" w:cs="NanumMyeongjo"/>
          <w:b w:val="0"/>
          <w:i w:val="0"/>
          <w:lang w:val="ko-KR" w:eastAsia="ko-KR"/>
        </w:rPr>
        <w:t xml:space="preserve">적용 기준: 운영 CORE 25문항·100점 · 2026.10.26 GitHub 공개 소스(main 963f0d7) 재확인 · 화면 개편 반영</w:t>
      </w:r>
    </w:p>
    <w:p>
      <w:pPr>
        <w:pStyle w:val="ArticleTableLabel"/>
      </w:pPr>
      <w:r>
        <w:rPr>
          <w:rFonts w:ascii="NanumGothic" w:hAnsi="NanumGothic" w:eastAsia="NanumGothic" w:cs="NanumGothic"/>
          <w:b/>
          <w:sz w:val="18"/>
          <w:lang w:val="ko-KR" w:eastAsia="ko-KR"/>
        </w:rPr>
        <w:t xml:space="preserve">〈표 1〉  연구의 지위</w:t>
      </w:r>
    </w:p>
    <w:tbl>
      <w:tblPr>
        <w:tblW w:type="auto" w:w="0"/>
        <w:jc w:val="center"/>
        <w:tblLayout w:type="fixed"/>
        <w:tblLook w:firstColumn="1" w:firstRow="1" w:lastColumn="0" w:lastRow="0" w:noHBand="0" w:noVBand="1" w:val="04A0"/>
      </w:tblPr>
      <w:tblGrid>
        <w:gridCol w:w="9071"/>
      </w:tblGrid>
      <w:tr>
        <w:trPr>
          <w:cantSplit/>
        </w:trPr>
        <w:tc>
          <w:tcPr>
            <w:tcW w:type="dxa" w:w="9071"/>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연구 상태: 척도 자체는 현장 검토용 비표준화 TEST입니다. 기존의 합성 입력·공개사례·AI 유사 해석모델 검수는 개발단계의 기술적·내용적 점검이며, 실제 학생 자료에 기반한 실증적 타당도·효과성을 입증하지 않습니다.</w:t>
            </w:r>
          </w:p>
        </w:tc>
      </w:tr>
    </w:tbl>
    <w:p>
      <w:pPr>
        <w:pStyle w:val="ArticleH1"/>
      </w:pPr>
      <w:r>
        <w:rPr>
          <w:rFonts w:ascii="NanumMyeongjo" w:hAnsi="NanumMyeongjo" w:eastAsia="NanumMyeongjo" w:cs="NanumMyeongjo"/>
          <w:b w:val="0"/>
          <w:i w:val="0"/>
          <w:lang w:val="ko-KR" w:eastAsia="ko-KR"/>
        </w:rPr>
        <w:t>보고서 구성</w:t>
      </w:r>
    </w:p>
    <w:p>
      <w:pPr>
        <w:pStyle w:val="ArticleSmall"/>
      </w:pPr>
      <w:r>
        <w:rPr>
          <w:rFonts w:ascii="NanumMyeongjo" w:hAnsi="NanumMyeongjo" w:eastAsia="NanumMyeongjo" w:cs="NanumMyeongjo"/>
          <w:b w:val="0"/>
          <w:i w:val="0"/>
          <w:lang w:val="ko-KR" w:eastAsia="ko-KR"/>
        </w:rPr>
        <w:t xml:space="preserve">1 연구의 필요성과 문제 정의</w:t>
      </w:r>
    </w:p>
    <w:p>
      <w:pPr>
        <w:pStyle w:val="ArticleSmall"/>
      </w:pPr>
      <w:r>
        <w:rPr>
          <w:rFonts w:ascii="NanumMyeongjo" w:hAnsi="NanumMyeongjo" w:eastAsia="NanumMyeongjo" w:cs="NanumMyeongjo"/>
          <w:b w:val="0"/>
          <w:i w:val="0"/>
          <w:lang w:val="ko-KR" w:eastAsia="ko-KR"/>
        </w:rPr>
        <w:t xml:space="preserve">2 구성개념과 측정모형</w:t>
      </w:r>
    </w:p>
    <w:p>
      <w:pPr>
        <w:pStyle w:val="ArticleSmall"/>
      </w:pPr>
      <w:r>
        <w:rPr>
          <w:rFonts w:ascii="NanumMyeongjo" w:hAnsi="NanumMyeongjo" w:eastAsia="NanumMyeongjo" w:cs="NanumMyeongjo"/>
          <w:b w:val="0"/>
          <w:i w:val="0"/>
          <w:lang w:val="ko-KR" w:eastAsia="ko-KR"/>
        </w:rPr>
        <w:t xml:space="preserve">3 척도 구조와 점수 운영원칙</w:t>
      </w:r>
    </w:p>
    <w:p>
      <w:pPr>
        <w:pStyle w:val="ArticleSmall"/>
      </w:pPr>
      <w:r>
        <w:rPr>
          <w:rFonts w:ascii="NanumMyeongjo" w:hAnsi="NanumMyeongjo" w:eastAsia="NanumMyeongjo" w:cs="NanumMyeongjo"/>
          <w:b w:val="0"/>
          <w:i w:val="0"/>
          <w:lang w:val="ko-KR" w:eastAsia="ko-KR"/>
        </w:rPr>
        <w:t xml:space="preserve">4 안전판정·미상·편향 관리</w:t>
      </w:r>
    </w:p>
    <w:p>
      <w:pPr>
        <w:pStyle w:val="ArticleSmall"/>
      </w:pPr>
      <w:r>
        <w:rPr>
          <w:rFonts w:ascii="NanumMyeongjo" w:hAnsi="NanumMyeongjo" w:eastAsia="NanumMyeongjo" w:cs="NanumMyeongjo"/>
          <w:b w:val="0"/>
          <w:i w:val="0"/>
          <w:lang w:val="ko-KR" w:eastAsia="ko-KR"/>
        </w:rPr>
        <w:t xml:space="preserve">5 모델 구조·화면 구성·세 가지 단계 표시</w:t>
      </w:r>
    </w:p>
    <w:p>
      <w:pPr>
        <w:pStyle w:val="ArticleSmall"/>
      </w:pPr>
      <w:r>
        <w:rPr>
          <w:rFonts w:ascii="NanumMyeongjo" w:hAnsi="NanumMyeongjo" w:eastAsia="NanumMyeongjo" w:cs="NanumMyeongjo"/>
          <w:b w:val="0"/>
          <w:i w:val="0"/>
          <w:lang w:val="ko-KR" w:eastAsia="ko-KR"/>
        </w:rPr>
        <w:t xml:space="preserve">6 문항별 해석의 전문적 구조</w:t>
      </w:r>
    </w:p>
    <w:p>
      <w:pPr>
        <w:pStyle w:val="ArticleSmall"/>
      </w:pPr>
      <w:r>
        <w:rPr>
          <w:rFonts w:ascii="NanumMyeongjo" w:hAnsi="NanumMyeongjo" w:eastAsia="NanumMyeongjo" w:cs="NanumMyeongjo"/>
          <w:b w:val="0"/>
          <w:i w:val="0"/>
          <w:lang w:val="ko-KR" w:eastAsia="ko-KR"/>
        </w:rPr>
        <w:t xml:space="preserve">7 문항교차 가설과 해석지 교차 패턴</w:t>
      </w:r>
    </w:p>
    <w:p>
      <w:pPr>
        <w:pStyle w:val="ArticleSmall"/>
      </w:pPr>
      <w:r>
        <w:rPr>
          <w:rFonts w:ascii="NanumMyeongjo" w:hAnsi="NanumMyeongjo" w:eastAsia="NanumMyeongjo" w:cs="NanumMyeongjo"/>
          <w:b w:val="0"/>
          <w:i w:val="0"/>
          <w:lang w:val="ko-KR" w:eastAsia="ko-KR"/>
        </w:rPr>
        <w:t xml:space="preserve">8 지역자원 연동과 자원연계 지도</w:t>
      </w:r>
    </w:p>
    <w:p>
      <w:pPr>
        <w:pStyle w:val="ArticleSmall"/>
      </w:pPr>
      <w:r>
        <w:rPr>
          <w:rFonts w:ascii="NanumMyeongjo" w:hAnsi="NanumMyeongjo" w:eastAsia="NanumMyeongjo" w:cs="NanumMyeongjo"/>
          <w:b w:val="0"/>
          <w:i w:val="0"/>
          <w:lang w:val="ko-KR" w:eastAsia="ko-KR"/>
        </w:rPr>
        <w:t xml:space="preserve">9 후속 사례관리 수명주기</w:t>
      </w:r>
    </w:p>
    <w:p>
      <w:pPr>
        <w:pStyle w:val="ArticleSmall"/>
      </w:pPr>
      <w:r>
        <w:rPr>
          <w:rFonts w:ascii="NanumMyeongjo" w:hAnsi="NanumMyeongjo" w:eastAsia="NanumMyeongjo" w:cs="NanumMyeongjo"/>
          <w:b w:val="0"/>
          <w:i w:val="0"/>
          <w:lang w:val="ko-KR" w:eastAsia="ko-KR"/>
        </w:rPr>
        <w:t xml:space="preserve">10 AI 기능과 가상검수의 구조</w:t>
      </w:r>
    </w:p>
    <w:p>
      <w:pPr>
        <w:pStyle w:val="ArticleSmall"/>
      </w:pPr>
      <w:r>
        <w:rPr>
          <w:rFonts w:ascii="NanumMyeongjo" w:hAnsi="NanumMyeongjo" w:eastAsia="NanumMyeongjo" w:cs="NanumMyeongjo"/>
          <w:b w:val="0"/>
          <w:i w:val="0"/>
          <w:lang w:val="ko-KR" w:eastAsia="ko-KR"/>
        </w:rPr>
        <w:t xml:space="preserve">11 타당도 확보 연구계획</w:t>
      </w:r>
    </w:p>
    <w:p>
      <w:pPr>
        <w:pStyle w:val="ArticleSmall"/>
      </w:pPr>
      <w:r>
        <w:rPr>
          <w:rFonts w:ascii="NanumMyeongjo" w:hAnsi="NanumMyeongjo" w:eastAsia="NanumMyeongjo" w:cs="NanumMyeongjo"/>
          <w:b w:val="0"/>
          <w:i w:val="0"/>
          <w:lang w:val="ko-KR" w:eastAsia="ko-KR"/>
        </w:rPr>
        <w:t xml:space="preserve">12 법·윤리·개인정보</w:t>
      </w:r>
    </w:p>
    <w:p>
      <w:pPr>
        <w:pStyle w:val="ArticleSmall"/>
      </w:pPr>
      <w:r>
        <w:rPr>
          <w:rFonts w:ascii="NanumMyeongjo" w:hAnsi="NanumMyeongjo" w:eastAsia="NanumMyeongjo" w:cs="NanumMyeongjo"/>
          <w:b w:val="0"/>
          <w:i w:val="0"/>
          <w:lang w:val="ko-KR" w:eastAsia="ko-KR"/>
        </w:rPr>
        <w:t xml:space="preserve">13 가상 재현 사례</w:t>
      </w:r>
    </w:p>
    <w:p>
      <w:pPr>
        <w:pStyle w:val="ArticleSmall"/>
      </w:pPr>
      <w:r>
        <w:rPr>
          <w:rFonts w:ascii="NanumMyeongjo" w:hAnsi="NanumMyeongjo" w:eastAsia="NanumMyeongjo" w:cs="NanumMyeongjo"/>
          <w:b w:val="0"/>
          <w:i w:val="0"/>
          <w:lang w:val="ko-KR" w:eastAsia="ko-KR"/>
        </w:rPr>
        <w:t xml:space="preserve">14 제언 · 15 결론 · 참고문헌 · 부록 A~D</w:t>
      </w:r>
    </w:p>
    <w:p>
      <w:r>
        <w:br w:type="page"/>
      </w:r>
    </w:p>
    <w:p>
      <w:pPr>
        <w:pStyle w:val="ArticleH1"/>
      </w:pPr>
      <w:r>
        <w:rPr>
          <w:rFonts w:ascii="NanumMyeongjo" w:hAnsi="NanumMyeongjo" w:eastAsia="NanumMyeongjo" w:cs="NanumMyeongjo"/>
          <w:b w:val="0"/>
          <w:i w:val="0"/>
          <w:lang w:val="ko-KR" w:eastAsia="ko-KR"/>
        </w:rPr>
        <w:t>국문 초록</w:t>
      </w:r>
    </w:p>
    <w:p>
      <w:pPr>
        <w:pStyle w:val="ArticleBody"/>
        <w:jc w:val="both"/>
      </w:pPr>
      <w:r>
        <w:rPr>
          <w:rFonts w:ascii="NanumMyeongjo" w:hAnsi="NanumMyeongjo" w:eastAsia="NanumMyeongjo" w:cs="NanumMyeongjo"/>
          <w:b w:val="0"/>
          <w:i w:val="0"/>
          <w:lang w:val="ko-KR" w:eastAsia="ko-KR"/>
        </w:rPr>
        <w:t>목적: 본 보고서는 OY-RALS의 25문항 위험징후 관찰척도를 중심으로, 학교·복지기관의 초기상담에서 자료가 어떻게 점수화되고, 현장 면담·지역자원 연계·사례관리·재사정으로 연결되는지를 연구·설계 차원에서 재구성한다.</w:t>
      </w:r>
    </w:p>
    <w:p>
      <w:pPr>
        <w:pStyle w:val="ArticleBody"/>
        <w:jc w:val="both"/>
      </w:pPr>
      <w:r>
        <w:rPr>
          <w:rFonts w:ascii="NanumMyeongjo" w:hAnsi="NanumMyeongjo" w:eastAsia="NanumMyeongjo" w:cs="NanumMyeongjo"/>
          <w:b w:val="0"/>
          <w:i w:val="0"/>
          <w:lang w:val="ko-KR" w:eastAsia="ko-KR"/>
        </w:rPr>
        <w:t xml:space="preserve">방법: 2026년 10월 26일 확인한 운영 저장소의 CORE, ICSI, OY-CIE, K-CARR, NCB, ICMS, 자원 데이터·개발 검수 문서를 구조 분석하였고, 같은 날 운영 사이트에 반영된 해석 계층 개편(문항별 0~4점 앵커, 23개 교차 패턴, 심층 해석지, 서술기록 분석, 보조지표 도식)과 자원연계 지도 세부 기능을 함께 대조하였다. 측정도구 내용타당도·다차원성·자해평가 윤리·학생맞춤통합지원법·아동보호 사례관리 지침과의 개념적 정합성을 검토하였다. 현재 학생 표본·비공개 사례기록을 이용해 독립적 실증 연구를 실시하지 않았다.</w:t>
      </w:r>
    </w:p>
    <w:p>
      <w:pPr>
        <w:pStyle w:val="ArticleBody"/>
        <w:jc w:val="both"/>
      </w:pPr>
      <w:r>
        <w:rPr>
          <w:rFonts w:ascii="NanumMyeongjo" w:hAnsi="NanumMyeongjo" w:eastAsia="NanumMyeongjo" w:cs="NanumMyeongjo"/>
          <w:b w:val="0"/>
          <w:i w:val="0"/>
          <w:lang w:val="ko-KR" w:eastAsia="ko-KR"/>
        </w:rPr>
        <w:t xml:space="preserve">결과: 원점수는 25개 항목의 0~4점 합산이되, 미상이 있으면 확정 판정을 보류하고 별도 안전신호가 총점에 우선한다. 지원단계는 영역별 집중수와 3~4점 응답 개수를 기반으로 산정한다. 문항교차 가설은 인과판정이 아니라 추가 사정 질문을 돕는다. 지역자원 연결은 단순 기관명 추천을 넘어 이용대상·관할·회차·접수상태와 실제 제공 결과를 분리·추적하는 정보관리체계를 요구한다. 현재 화면은 CORE 지원검토 단계(0~3·보류), SUPPORT-5 통합지원 단계(1~5), 해석지의 개입 수준(5수준)을 함께 보여 주며, 세 표시는 산출 규칙과 지위가 서로 다르다.</w:t>
      </w:r>
    </w:p>
    <w:p>
      <w:pPr>
        <w:pStyle w:val="ArticleBody"/>
        <w:jc w:val="both"/>
      </w:pPr>
      <w:r>
        <w:rPr>
          <w:rFonts w:ascii="NanumMyeongjo" w:hAnsi="NanumMyeongjo" w:eastAsia="NanumMyeongjo" w:cs="NanumMyeongjo"/>
          <w:b w:val="0"/>
          <w:i w:val="0"/>
          <w:lang w:val="ko-KR" w:eastAsia="ko-KR"/>
        </w:rPr>
        <w:t>연구적 해석: 기존 50만 합성 입력 기술검사는 지정 조건에서 코드의 계산적 재현성을 확인했지만, 실제 청소년에 대한 신뢰도·타당도·예측정확도·개입 효과 검증은 아니다. AI 기반 가상사례 검수는 실제 전문가의 독립 표준 준거와 전향적 연구로 이어지는 선행 개발절차로 위치시켜야 한다.</w:t>
      </w:r>
    </w:p>
    <w:p>
      <w:pPr>
        <w:pStyle w:val="ArticleBody"/>
        <w:jc w:val="both"/>
      </w:pPr>
      <w:r>
        <w:rPr>
          <w:rFonts w:ascii="NanumMyeongjo" w:hAnsi="NanumMyeongjo" w:eastAsia="NanumMyeongjo" w:cs="NanumMyeongjo"/>
          <w:b w:val="0"/>
          <w:i w:val="0"/>
          <w:lang w:val="ko-KR" w:eastAsia="ko-KR"/>
        </w:rPr>
        <w:t>결론: OY-RALS는 진단 도구가 아닌 학생 중심의 욕구 사정 및 서비스 연계 의사결정 지원도구로 설명하는 것이 적절하다. CORE 고정, 자원 검증, 후속 기록, 독립 실증연구를 단계적으로 연결해야 현장 타당성과 책임성을 논증할 수 있다.</w:t>
      </w:r>
    </w:p>
    <w:p>
      <w:pPr>
        <w:pStyle w:val="ArticleSmall"/>
      </w:pPr>
      <w:r>
        <w:rPr>
          <w:rFonts w:ascii="NanumMyeongjo" w:hAnsi="NanumMyeongjo" w:eastAsia="NanumMyeongjo" w:cs="NanumMyeongjo"/>
          <w:b/>
          <w:i w:val="0"/>
          <w:lang w:val="ko-KR" w:eastAsia="ko-KR"/>
        </w:rPr>
        <w:t>주제어:</w:t>
      </w:r>
      <w:r>
        <w:rPr>
          <w:rFonts w:ascii="NanumMyeongjo" w:hAnsi="NanumMyeongjo" w:eastAsia="NanumMyeongjo" w:cs="NanumMyeongjo"/>
          <w:b w:val="0"/>
          <w:i w:val="0"/>
          <w:lang w:val="ko-KR" w:eastAsia="ko-KR"/>
        </w:rPr>
        <w:t xml:space="preserve"> 청소년 위기징후 · 학교사회복지 · 학생맞춤통합지원 · 지역자원연계 · 사례관리 · AI 기반 가상사례검수 · 측정 타당도</w:t>
      </w:r>
    </w:p>
    <w:p>
      <w:r>
        <w:br w:type="page"/>
      </w:r>
    </w:p>
    <w:p>
      <w:pPr>
        <w:pStyle w:val="ArticleH1"/>
      </w:pPr>
      <w:r>
        <w:rPr>
          <w:rFonts w:ascii="NanumMyeongjo" w:hAnsi="NanumMyeongjo" w:eastAsia="NanumMyeongjo" w:cs="NanumMyeongjo"/>
          <w:b w:val="0"/>
          <w:i w:val="0"/>
          <w:lang w:val="ko-KR" w:eastAsia="ko-KR"/>
        </w:rPr>
        <w:t>연구 전체 구조도</w:t>
      </w:r>
    </w:p>
    <w:p>
      <w:pPr>
        <w:keepNext/>
        <w:jc w:val="center"/>
      </w:pPr>
      <w:r>
        <w:drawing>
          <wp:inline xmlns:a="http://schemas.openxmlformats.org/drawingml/2006/main" xmlns:pic="http://schemas.openxmlformats.org/drawingml/2006/picture">
            <wp:extent cx="5652000" cy="3503678"/>
            <wp:docPr id="1" name="Picture 1"/>
            <wp:cNvGraphicFramePr>
              <a:graphicFrameLocks noChangeAspect="1"/>
            </wp:cNvGraphicFramePr>
            <a:graphic>
              <a:graphicData uri="http://schemas.openxmlformats.org/drawingml/2006/picture">
                <pic:pic>
                  <pic:nvPicPr>
                    <pic:cNvPr id="0" name="diagram_1.png"/>
                    <pic:cNvPicPr/>
                  </pic:nvPicPr>
                  <pic:blipFill>
                    <a:blip r:embed="rId11"/>
                    <a:stretch>
                      <a:fillRect/>
                    </a:stretch>
                  </pic:blipFill>
                  <pic:spPr>
                    <a:xfrm>
                      <a:off x="0" y="0"/>
                      <a:ext cx="5652000" cy="3503678"/>
                    </a:xfrm>
                    <a:prstGeom prst="rect"/>
                  </pic:spPr>
                </pic:pic>
              </a:graphicData>
            </a:graphic>
          </wp:inline>
        </w:drawing>
      </w:r>
    </w:p>
    <w:p>
      <w:pPr>
        <w:pStyle w:val="ArticleCaption"/>
      </w:pPr>
      <w:r>
        <w:rPr>
          <w:rFonts w:ascii="NanumMyeongjo" w:hAnsi="NanumMyeongjo" w:eastAsia="NanumMyeongjo" w:cs="NanumMyeongjo"/>
          <w:b w:val="0"/>
          <w:i w:val="0"/>
          <w:lang w:val="ko-KR" w:eastAsia="ko-KR"/>
        </w:rPr>
        <w:t xml:space="preserve">〈그림 1〉 평가에서 서비스 제공·재사정까지의 연계 흐름 (개발자 작성 모형)</w:t>
      </w:r>
    </w:p>
    <w:p>
      <w:pPr>
        <w:pStyle w:val="ArticleCaption"/>
      </w:pPr>
      <w:r>
        <w:rPr>
          <w:rFonts w:ascii="NanumMyeongjo" w:hAnsi="NanumMyeongjo" w:eastAsia="NanumMyeongjo" w:cs="NanumMyeongjo"/>
          <w:b w:val="0"/>
          <w:i w:val="0"/>
          <w:lang w:val="ko-KR" w:eastAsia="ko-KR"/>
        </w:rPr>
        <w:t xml:space="preserve">주. 평가에서 서비스 제공·재사정까지의 닫힌 고리. 긴급 안전 대응은 전 과정의 공통 상위 경로입니다.</w:t>
      </w:r>
    </w:p>
    <w:p>
      <w:pPr>
        <w:keepNext/>
        <w:jc w:val="center"/>
      </w:pPr>
      <w:r>
        <w:drawing>
          <wp:inline xmlns:a="http://schemas.openxmlformats.org/drawingml/2006/main" xmlns:pic="http://schemas.openxmlformats.org/drawingml/2006/picture">
            <wp:extent cx="5652000" cy="2840060"/>
            <wp:docPr id="2" name="Picture 2"/>
            <wp:cNvGraphicFramePr>
              <a:graphicFrameLocks noChangeAspect="1"/>
            </wp:cNvGraphicFramePr>
            <a:graphic>
              <a:graphicData uri="http://schemas.openxmlformats.org/drawingml/2006/picture">
                <pic:pic>
                  <pic:nvPicPr>
                    <pic:cNvPr id="0" name="diagram_2.png"/>
                    <pic:cNvPicPr/>
                  </pic:nvPicPr>
                  <pic:blipFill>
                    <a:blip r:embed="rId12"/>
                    <a:stretch>
                      <a:fillRect/>
                    </a:stretch>
                  </pic:blipFill>
                  <pic:spPr>
                    <a:xfrm>
                      <a:off x="0" y="0"/>
                      <a:ext cx="5652000" cy="2840060"/>
                    </a:xfrm>
                    <a:prstGeom prst="rect"/>
                  </pic:spPr>
                </pic:pic>
              </a:graphicData>
            </a:graphic>
          </wp:inline>
        </w:drawing>
      </w:r>
    </w:p>
    <w:p>
      <w:pPr>
        <w:pStyle w:val="ArticleCaption"/>
      </w:pPr>
      <w:r>
        <w:rPr>
          <w:rFonts w:ascii="NanumMyeongjo" w:hAnsi="NanumMyeongjo" w:eastAsia="NanumMyeongjo" w:cs="NanumMyeongjo"/>
          <w:b w:val="0"/>
          <w:i w:val="0"/>
          <w:lang w:val="ko-KR" w:eastAsia="ko-KR"/>
        </w:rPr>
        <w:t xml:space="preserve">〈그림 2〉 기술검수와 실증 타당화의 이중 경로 (개발자 작성 모형)</w:t>
      </w:r>
    </w:p>
    <w:p>
      <w:pPr>
        <w:pStyle w:val="ArticleCaption"/>
      </w:pPr>
      <w:r>
        <w:rPr>
          <w:rFonts w:ascii="NanumMyeongjo" w:hAnsi="NanumMyeongjo" w:eastAsia="NanumMyeongjo" w:cs="NanumMyeongjo"/>
          <w:b w:val="0"/>
          <w:i w:val="0"/>
          <w:lang w:val="ko-KR" w:eastAsia="ko-KR"/>
        </w:rPr>
        <w:t xml:space="preserve">주. 이미 보고된 기술검수와 앞으로 수행해야 할 실증 타당화의 구분.</w:t>
      </w:r>
    </w:p>
    <w:p>
      <w:pPr>
        <w:pStyle w:val="ArticleH1"/>
      </w:pPr>
      <w:r>
        <w:rPr>
          <w:rFonts w:ascii="NanumMyeongjo" w:hAnsi="NanumMyeongjo" w:eastAsia="NanumMyeongjo" w:cs="NanumMyeongjo"/>
          <w:b w:val="0"/>
          <w:i w:val="0"/>
          <w:lang w:val="ko-KR" w:eastAsia="ko-KR"/>
        </w:rPr>
        <w:t>1. 연구의 필요성과 문제 정의</w:t>
      </w:r>
    </w:p>
    <w:p>
      <w:pPr>
        <w:pStyle w:val="ArticleBody"/>
        <w:jc w:val="both"/>
      </w:pPr>
      <w:r>
        <w:rPr>
          <w:rFonts w:ascii="NanumMyeongjo" w:hAnsi="NanumMyeongjo" w:eastAsia="NanumMyeongjo" w:cs="NanumMyeongjo"/>
          <w:b w:val="0"/>
          <w:i w:val="0"/>
          <w:lang w:val="ko-KR" w:eastAsia="ko-KR"/>
        </w:rPr>
        <w:t>현재 학교와 지역사회는 학생의 문제를 학습부진, 심리상담, 경제지원, 보호 사안 등 개별 사업으로 나누어 접근하기 쉽다. 그러나 한 학생의 등교 감소가 또래 위해, 수면·정서, 가정 돌봄 부담, 주거 이전 등 여러 생활장벽과 함께 관찰될 수 있다. 단일 점수나 진단명만으로 이런 관계를 해석하면 실제 지원 필요가 누락된다.</w:t>
      </w:r>
    </w:p>
    <w:p>
      <w:pPr>
        <w:pStyle w:val="ArticleBody"/>
        <w:jc w:val="both"/>
      </w:pPr>
      <w:r>
        <w:rPr>
          <w:rFonts w:ascii="NanumMyeongjo" w:hAnsi="NanumMyeongjo" w:eastAsia="NanumMyeongjo" w:cs="NanumMyeongjo"/>
          <w:b w:val="0"/>
          <w:i w:val="0"/>
          <w:lang w:val="ko-KR" w:eastAsia="ko-KR"/>
        </w:rPr>
        <w:t>OY-RALS의 실무적 주제는 “누가 고위험 학생인가”가 아니라 “어떤 도움이 지금 필요하며, 어느 기관이 어떤 역할로 이어받고, 지원 이후 무엇이 달라졌는가”이다. 이런 목적 정의는 사용 목적에 맞는 타당도 검증 설계와 직접 연결된다.</w:t>
      </w:r>
    </w:p>
    <w:p>
      <w:pPr>
        <w:pStyle w:val="ArticleBody"/>
        <w:jc w:val="both"/>
      </w:pPr>
      <w:r>
        <w:rPr>
          <w:rFonts w:ascii="NanumMyeongjo" w:hAnsi="NanumMyeongjo" w:eastAsia="NanumMyeongjo" w:cs="NanumMyeongjo"/>
          <w:b w:val="0"/>
          <w:i w:val="0"/>
          <w:lang w:val="ko-KR" w:eastAsia="ko-KR"/>
        </w:rPr>
        <w:t>2026년 시행 중인 학생맞춤통합지원법은 학습·복지·건강·상담 등의 복합적 학생 지원을 제도적으로 연결한다. 그러나 자체 척도 점수가 법적 선정 여부 또는 정보공유 권한을 자동 부여하지 않는다. 실제 업무는 각 학교·교육지원청의 절차와 관계법령을 확인해야 한다.</w:t>
      </w:r>
    </w:p>
    <w:p>
      <w:pPr>
        <w:pStyle w:val="ArticleH2"/>
      </w:pPr>
      <w:r>
        <w:rPr>
          <w:rFonts w:ascii="NanumMyeongjo" w:hAnsi="NanumMyeongjo" w:eastAsia="NanumMyeongjo" w:cs="NanumMyeongjo"/>
          <w:b w:val="0"/>
          <w:i w:val="0"/>
          <w:lang w:val="ko-KR" w:eastAsia="ko-KR"/>
        </w:rPr>
        <w:t>1.1 연구질문</w:t>
      </w:r>
    </w:p>
    <w:p>
      <w:pPr>
        <w:pStyle w:val="ArticleSmall"/>
      </w:pPr>
      <w:r>
        <w:rPr>
          <w:rFonts w:ascii="NanumMyeongjo" w:hAnsi="NanumMyeongjo" w:eastAsia="NanumMyeongjo" w:cs="NanumMyeongjo"/>
          <w:b w:val="0"/>
          <w:i w:val="0"/>
          <w:lang w:val="ko-KR" w:eastAsia="ko-KR"/>
        </w:rPr>
        <w:t>• 25문항은 학생의 어떤 관찰 가능한 어려움과 환경 장벽을 구분하는가?</w:t>
      </w:r>
    </w:p>
    <w:p>
      <w:pPr>
        <w:pStyle w:val="ArticleSmall"/>
      </w:pPr>
      <w:r>
        <w:rPr>
          <w:rFonts w:ascii="NanumMyeongjo" w:hAnsi="NanumMyeongjo" w:eastAsia="NanumMyeongjo" w:cs="NanumMyeongjo"/>
          <w:b w:val="0"/>
          <w:i w:val="0"/>
          <w:lang w:val="ko-KR" w:eastAsia="ko-KR"/>
        </w:rPr>
        <w:t>• CORE의 안전판정·미상 처리·지원 수준은 어떠한 수기 절차로 재현 가능한가?</w:t>
      </w:r>
    </w:p>
    <w:p>
      <w:pPr>
        <w:pStyle w:val="ArticleSmall"/>
      </w:pPr>
      <w:r>
        <w:rPr>
          <w:rFonts w:ascii="NanumMyeongjo" w:hAnsi="NanumMyeongjo" w:eastAsia="NanumMyeongjo" w:cs="NanumMyeongjo"/>
          <w:b w:val="0"/>
          <w:i w:val="0"/>
          <w:lang w:val="ko-KR" w:eastAsia="ko-KR"/>
        </w:rPr>
        <w:t>• AI 유사 해석모델의 문장 생성은 원자료·질문·가설·행동으로 어떻게 추적되는가?</w:t>
      </w:r>
    </w:p>
    <w:p>
      <w:pPr>
        <w:pStyle w:val="ArticleSmall"/>
      </w:pPr>
      <w:r>
        <w:rPr>
          <w:rFonts w:ascii="NanumMyeongjo" w:hAnsi="NanumMyeongjo" w:eastAsia="NanumMyeongjo" w:cs="NanumMyeongjo"/>
          <w:b w:val="0"/>
          <w:i w:val="0"/>
          <w:lang w:val="ko-KR" w:eastAsia="ko-KR"/>
        </w:rPr>
        <w:t>• 기관 후보 추천이 실제 접수·서비스 제공으로 이어졌는지 무엇으로 확인할 것인가?</w:t>
      </w:r>
    </w:p>
    <w:p>
      <w:pPr>
        <w:pStyle w:val="ArticleSmall"/>
      </w:pPr>
      <w:r>
        <w:rPr>
          <w:rFonts w:ascii="NanumMyeongjo" w:hAnsi="NanumMyeongjo" w:eastAsia="NanumMyeongjo" w:cs="NanumMyeongjo"/>
          <w:b w:val="0"/>
          <w:i w:val="0"/>
          <w:lang w:val="ko-KR" w:eastAsia="ko-KR"/>
        </w:rPr>
        <w:t>• 개발·가상검수의 결과를 실제 타당도 확보를 위한 연구 질문과 어떻게 연결할 것인가?</w:t>
      </w:r>
    </w:p>
    <w:p>
      <w:pPr>
        <w:pStyle w:val="ArticleH2"/>
      </w:pPr>
      <w:r>
        <w:rPr>
          <w:rFonts w:ascii="NanumMyeongjo" w:hAnsi="NanumMyeongjo" w:eastAsia="NanumMyeongjo" w:cs="NanumMyeongjo"/>
          <w:b w:val="0"/>
          <w:i w:val="0"/>
          <w:lang w:val="ko-KR" w:eastAsia="ko-KR"/>
        </w:rPr>
        <w:t>1.2 분석의 범위와 독립성</w:t>
      </w:r>
    </w:p>
    <w:p>
      <w:pPr>
        <w:pStyle w:val="ArticleBody"/>
        <w:jc w:val="both"/>
      </w:pPr>
      <w:r>
        <w:rPr>
          <w:rFonts w:ascii="NanumMyeongjo" w:hAnsi="NanumMyeongjo" w:eastAsia="NanumMyeongjo" w:cs="NanumMyeongjo"/>
          <w:b w:val="0"/>
          <w:i w:val="0"/>
          <w:lang w:val="ko-KR" w:eastAsia="ko-KR"/>
        </w:rPr>
        <w:t>본 보고서의 “검토”는 운영 소스와 공개 문헌의 2차 분석이다. 개발 문서에 기재된 수치와 현재 수행한 분석을 구분한다. 과거 가상 시나리오나 모델 내부 응답과의 일치가 독립적인 정답 기준을 갖는다는 뜻은 아니다. 학생·교사·사회복지사를 대상으로 새 설문·면담·블라인드 코딩을 시행하지 않았다.</w:t>
      </w:r>
    </w:p>
    <w:p>
      <w:pPr>
        <w:pStyle w:val="ArticleH1"/>
      </w:pPr>
      <w:r>
        <w:rPr>
          <w:rFonts w:ascii="NanumMyeongjo" w:hAnsi="NanumMyeongjo" w:eastAsia="NanumMyeongjo" w:cs="NanumMyeongjo"/>
          <w:b w:val="0"/>
          <w:i w:val="0"/>
          <w:lang w:val="ko-KR" w:eastAsia="ko-KR"/>
        </w:rPr>
        <w:t>2. 구성개념과 측정모형</w:t>
      </w:r>
    </w:p>
    <w:p>
      <w:pPr>
        <w:pStyle w:val="ArticleBody"/>
        <w:jc w:val="both"/>
      </w:pPr>
      <w:r>
        <w:rPr>
          <w:rFonts w:ascii="NanumMyeongjo" w:hAnsi="NanumMyeongjo" w:eastAsia="NanumMyeongjo" w:cs="NanumMyeongjo"/>
          <w:b w:val="0"/>
          <w:i w:val="0"/>
          <w:lang w:val="ko-KR" w:eastAsia="ko-KR"/>
        </w:rPr>
        <w:t>10개 영역은 단일한 심리특성의 여러 동등 문항이라기보다 안전, 건강, 학교, 가정, 경제, 지지 등의 서로 다른 지원 필요를 담은 다차원 관찰 프로파일이다. 따라서 총점 100점을 일률적인 임상 위험강도, 표준점수 또는 미래 사건 발생확률로 해석하기 어렵다. 총점은 어떤 문항이 관찰되었는지와 결합하여 설명해야 한다.</w:t>
      </w:r>
    </w:p>
    <w:p>
      <w:pPr>
        <w:pStyle w:val="ArticleBody"/>
        <w:jc w:val="both"/>
      </w:pPr>
      <w:r>
        <w:rPr>
          <w:rFonts w:ascii="NanumMyeongjo" w:hAnsi="NanumMyeongjo" w:eastAsia="NanumMyeongjo" w:cs="NanumMyeongjo"/>
          <w:b w:val="0"/>
          <w:i w:val="0"/>
          <w:lang w:val="ko-KR" w:eastAsia="ko-KR"/>
        </w:rPr>
        <w:t>각 문항에 포함된 내용도 서로 다른 유형이다. 1·2·7·25번은 즉시 보호 확인의 선별신호이고, 14·15번은 개인의 질환이 아닌 학교 환경 접근성의 부족을, 19·21번은 경제 상황 자체가 아닌 실제 생활자원 부족 및 서비스 접근 장벽을 살핀다. 따라서 문항 구성의 차별성과 낙인 예방을 함께 검토해야 한다.</w:t>
      </w:r>
    </w:p>
    <w:p>
      <w:pPr>
        <w:pStyle w:val="ArticleBody"/>
        <w:jc w:val="both"/>
      </w:pPr>
      <w:r>
        <w:rPr>
          <w:rFonts w:ascii="NanumMyeongjo" w:hAnsi="NanumMyeongjo" w:eastAsia="NanumMyeongjo" w:cs="NanumMyeongjo"/>
          <w:b w:val="0"/>
          <w:i w:val="0"/>
          <w:lang w:val="ko-KR" w:eastAsia="ko-KR"/>
        </w:rPr>
        <w:t>COSMIN 문헌에서는 대상 집단과 사용 목적에 대한 관련성, 포괄성, 이해가능성이 내용타당도의 핵심이며 구조타당도·일치도·반응도 등은 별개의 속성으로 평가한다. OY-RALS에서는 지원 필요를 형성적으로 기술하는 부분과 안전 대응 신호를 분리해 평가하는 것이 적절하다.</w:t>
      </w:r>
    </w:p>
    <w:p>
      <w:pPr>
        <w:pStyle w:val="ArticleH2"/>
      </w:pPr>
      <w:r>
        <w:rPr>
          <w:rFonts w:ascii="NanumMyeongjo" w:hAnsi="NanumMyeongjo" w:eastAsia="NanumMyeongjo" w:cs="NanumMyeongjo"/>
          <w:b w:val="0"/>
          <w:i w:val="0"/>
          <w:lang w:val="ko-KR" w:eastAsia="ko-KR"/>
        </w:rPr>
        <w:t>2.1 설계상 중요한 이론-실무 연결</w:t>
      </w:r>
    </w:p>
    <w:p>
      <w:pPr>
        <w:pStyle w:val="ArticleTableLabel"/>
      </w:pPr>
      <w:r>
        <w:rPr>
          <w:rFonts w:ascii="NanumGothic" w:hAnsi="NanumGothic" w:eastAsia="NanumGothic" w:cs="NanumGothic"/>
          <w:b/>
          <w:sz w:val="18"/>
          <w:lang w:val="ko-KR" w:eastAsia="ko-KR"/>
        </w:rPr>
        <w:t xml:space="preserve">〈표 2〉  이론적 관점과 평가·서비스 연결</w:t>
      </w:r>
    </w:p>
    <w:tbl>
      <w:tblPr>
        <w:tblW w:type="auto" w:w="0"/>
        <w:jc w:val="center"/>
        <w:tblLayout w:type="fixed"/>
        <w:tblLook w:firstColumn="1" w:firstRow="1" w:lastColumn="0" w:lastRow="0" w:noHBand="0" w:noVBand="1" w:val="04A0"/>
      </w:tblPr>
      <w:tblGrid>
        <w:gridCol w:w="1649"/>
        <w:gridCol w:w="3608"/>
        <w:gridCol w:w="3814"/>
      </w:tblGrid>
      <w:tr>
        <w:trPr>
          <w:cantSplit/>
          <w:tblHeader w:val="true"/>
        </w:trPr>
        <w:tc>
          <w:tcPr>
            <w:tcW w:type="dxa" w:w="1649"/>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관점</w:t>
            </w:r>
          </w:p>
        </w:tc>
        <w:tc>
          <w:tcPr>
            <w:tcW w:type="dxa" w:w="3608"/>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평가에서의 적용</w:t>
            </w:r>
          </w:p>
        </w:tc>
        <w:tc>
          <w:tcPr>
            <w:tcW w:type="dxa" w:w="3814"/>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서비스 체계로 연결되는 질문</w:t>
            </w:r>
          </w:p>
        </w:tc>
      </w:tr>
      <w:tr>
        <w:trPr>
          <w:cantSplit/>
        </w:trPr>
        <w:tc>
          <w:tcPr>
            <w:tcW w:type="dxa" w:w="1649"/>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생태체계·환경</w:t>
            </w:r>
          </w:p>
        </w:tc>
        <w:tc>
          <w:tcPr>
            <w:tcW w:type="dxa" w:w="3608"/>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개인의 문제와 주변 환경을 구별</w:t>
            </w:r>
          </w:p>
        </w:tc>
        <w:tc>
          <w:tcPr>
            <w:tcW w:type="dxa" w:w="381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교실·주거·가족·정책 중 바꿀 요소는?</w:t>
            </w:r>
          </w:p>
        </w:tc>
      </w:tr>
      <w:tr>
        <w:trPr>
          <w:cantSplit/>
        </w:trPr>
        <w:tc>
          <w:tcPr>
            <w:tcW w:type="dxa" w:w="1649"/>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강점관점</w:t>
            </w:r>
          </w:p>
        </w:tc>
        <w:tc>
          <w:tcPr>
            <w:tcW w:type="dxa" w:w="3608"/>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학생 희망·신뢰관계 기록</w:t>
            </w:r>
          </w:p>
        </w:tc>
        <w:tc>
          <w:tcPr>
            <w:tcW w:type="dxa" w:w="381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학생이 선택하는 도움은 무엇인가?</w:t>
            </w:r>
          </w:p>
        </w:tc>
      </w:tr>
      <w:tr>
        <w:trPr>
          <w:cantSplit/>
        </w:trPr>
        <w:tc>
          <w:tcPr>
            <w:tcW w:type="dxa" w:w="1649"/>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문제해결 중심</w:t>
            </w:r>
          </w:p>
        </w:tc>
        <w:tc>
          <w:tcPr>
            <w:tcW w:type="dxa" w:w="3608"/>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관찰 가능한 첫 문제·작은 목표</w:t>
            </w:r>
          </w:p>
        </w:tc>
        <w:tc>
          <w:tcPr>
            <w:tcW w:type="dxa" w:w="381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누가 언제 무엇을 제공하면 달라지는가?</w:t>
            </w:r>
          </w:p>
        </w:tc>
      </w:tr>
      <w:tr>
        <w:trPr>
          <w:cantSplit/>
        </w:trPr>
        <w:tc>
          <w:tcPr>
            <w:tcW w:type="dxa" w:w="1649"/>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트라우마 인지</w:t>
            </w:r>
          </w:p>
        </w:tc>
        <w:tc>
          <w:tcPr>
            <w:tcW w:type="dxa" w:w="3608"/>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반복 진술·안전하지 않은 접촉 최소화</w:t>
            </w:r>
          </w:p>
        </w:tc>
        <w:tc>
          <w:tcPr>
            <w:tcW w:type="dxa" w:w="381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연락·의뢰가 추가 위험을 초래하지 않는가?</w:t>
            </w:r>
          </w:p>
        </w:tc>
      </w:tr>
      <w:tr>
        <w:trPr>
          <w:cantSplit/>
        </w:trPr>
        <w:tc>
          <w:tcPr>
            <w:tcW w:type="dxa" w:w="1649"/>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사례관리</w:t>
            </w:r>
          </w:p>
        </w:tc>
        <w:tc>
          <w:tcPr>
            <w:tcW w:type="dxa" w:w="3608"/>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사정→계획→실행→점검</w:t>
            </w:r>
          </w:p>
        </w:tc>
        <w:tc>
          <w:tcPr>
            <w:tcW w:type="dxa" w:w="3814"/>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지원 접수와 실제 제공 결과가 확인되었는가?</w:t>
            </w:r>
          </w:p>
        </w:tc>
      </w:tr>
    </w:tbl>
    <w:p>
      <w:pPr>
        <w:pStyle w:val="ArticleH1"/>
      </w:pPr>
      <w:r>
        <w:rPr>
          <w:rFonts w:ascii="NanumMyeongjo" w:hAnsi="NanumMyeongjo" w:eastAsia="NanumMyeongjo" w:cs="NanumMyeongjo"/>
          <w:b w:val="0"/>
          <w:i w:val="0"/>
          <w:lang w:val="ko-KR" w:eastAsia="ko-KR"/>
        </w:rPr>
        <w:t>3. 현재 척도의 구조 및 점수 운영원칙</w:t>
      </w:r>
    </w:p>
    <w:p>
      <w:pPr>
        <w:pStyle w:val="ArticleBody"/>
        <w:jc w:val="both"/>
      </w:pPr>
      <w:r>
        <w:rPr>
          <w:rFonts w:ascii="NanumMyeongjo" w:hAnsi="NanumMyeongjo" w:eastAsia="NanumMyeongjo" w:cs="NanumMyeongjo"/>
          <w:b w:val="0"/>
          <w:i w:val="0"/>
          <w:lang w:val="ko-KR" w:eastAsia="ko-KR"/>
        </w:rPr>
        <w:t>현재 CORE는 10개 영역·25문항, 각 문항 0~4점 또는 미상을 입력으로 받는다. 미상은 0점으로 대체되지 않고, 25개 중 하나라도 미상이면 전체 점수의 확정·전반적 지원수준 결정을 보류한다. 별도 응급·보호 징후 또는 핵심 안전문항은 합계와 무관하게 우선 확인 대상이다.</w:t>
      </w:r>
    </w:p>
    <w:p>
      <w:pPr>
        <w:pStyle w:val="ArticleTableLabel"/>
      </w:pPr>
      <w:r>
        <w:rPr>
          <w:rFonts w:ascii="NanumGothic" w:hAnsi="NanumGothic" w:eastAsia="NanumGothic" w:cs="NanumGothic"/>
          <w:b/>
          <w:sz w:val="18"/>
          <w:lang w:val="ko-KR" w:eastAsia="ko-KR"/>
        </w:rPr>
        <w:t xml:space="preserve">〈표 3〉  CORE 10개 영역의 문항 구성</w:t>
      </w:r>
    </w:p>
    <w:tbl>
      <w:tblPr>
        <w:tblW w:type="auto" w:w="0"/>
        <w:jc w:val="center"/>
        <w:tblLayout w:type="fixed"/>
        <w:tblLook w:firstColumn="1" w:firstRow="1" w:lastColumn="0" w:lastRow="0" w:noHBand="0" w:noVBand="1" w:val="04A0"/>
      </w:tblPr>
      <w:tblGrid>
        <w:gridCol w:w="4484"/>
        <w:gridCol w:w="1495"/>
        <w:gridCol w:w="1237"/>
        <w:gridCol w:w="1855"/>
      </w:tblGrid>
      <w:tr>
        <w:trPr>
          <w:cantSplit/>
          <w:tblHeader w:val="true"/>
        </w:trPr>
        <w:tc>
          <w:tcPr>
            <w:tcW w:type="dxa" w:w="4484"/>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7"/>
                <w:lang w:val="ko-KR" w:eastAsia="ko-KR"/>
              </w:rPr>
              <w:t>영역</w:t>
            </w:r>
          </w:p>
        </w:tc>
        <w:tc>
          <w:tcPr>
            <w:tcW w:type="dxa" w:w="1495"/>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7"/>
                <w:lang w:val="ko-KR" w:eastAsia="ko-KR"/>
              </w:rPr>
              <w:t>문항번호</w:t>
            </w:r>
          </w:p>
        </w:tc>
        <w:tc>
          <w:tcPr>
            <w:tcW w:type="dxa" w:w="1237"/>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7"/>
                <w:lang w:val="ko-KR" w:eastAsia="ko-KR"/>
              </w:rPr>
              <w:t>개수</w:t>
            </w:r>
          </w:p>
        </w:tc>
        <w:tc>
          <w:tcPr>
            <w:tcW w:type="dxa" w:w="1855"/>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7"/>
                <w:lang w:val="ko-KR" w:eastAsia="ko-KR"/>
              </w:rPr>
              <w:t>최대점수</w:t>
            </w:r>
          </w:p>
        </w:tc>
      </w:tr>
      <w:tr>
        <w:trPr>
          <w:cantSplit/>
        </w:trPr>
        <w:tc>
          <w:tcPr>
            <w:tcW w:type="dxa" w:w="448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아동학대·보호</w:t>
            </w:r>
          </w:p>
        </w:tc>
        <w:tc>
          <w:tcPr>
            <w:tcW w:type="dxa" w:w="149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1~2</w:t>
            </w:r>
          </w:p>
        </w:tc>
        <w:tc>
          <w:tcPr>
            <w:tcW w:type="dxa" w:w="1237"/>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2</w:t>
            </w:r>
          </w:p>
        </w:tc>
        <w:tc>
          <w:tcPr>
            <w:tcW w:type="dxa" w:w="185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8</w:t>
            </w:r>
          </w:p>
        </w:tc>
      </w:tr>
      <w:tr>
        <w:trPr>
          <w:cantSplit/>
        </w:trPr>
        <w:tc>
          <w:tcPr>
            <w:tcW w:type="dxa" w:w="448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학교폭력·또래 안전</w:t>
            </w:r>
          </w:p>
        </w:tc>
        <w:tc>
          <w:tcPr>
            <w:tcW w:type="dxa" w:w="149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3~5</w:t>
            </w:r>
          </w:p>
        </w:tc>
        <w:tc>
          <w:tcPr>
            <w:tcW w:type="dxa" w:w="1237"/>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3</w:t>
            </w:r>
          </w:p>
        </w:tc>
        <w:tc>
          <w:tcPr>
            <w:tcW w:type="dxa" w:w="185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12</w:t>
            </w:r>
          </w:p>
        </w:tc>
      </w:tr>
      <w:tr>
        <w:trPr>
          <w:cantSplit/>
        </w:trPr>
        <w:tc>
          <w:tcPr>
            <w:tcW w:type="dxa" w:w="448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자해·정서·정신건강</w:t>
            </w:r>
          </w:p>
        </w:tc>
        <w:tc>
          <w:tcPr>
            <w:tcW w:type="dxa" w:w="149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6~8</w:t>
            </w:r>
          </w:p>
        </w:tc>
        <w:tc>
          <w:tcPr>
            <w:tcW w:type="dxa" w:w="1237"/>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3</w:t>
            </w:r>
          </w:p>
        </w:tc>
        <w:tc>
          <w:tcPr>
            <w:tcW w:type="dxa" w:w="185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12</w:t>
            </w:r>
          </w:p>
        </w:tc>
      </w:tr>
      <w:tr>
        <w:trPr>
          <w:cantSplit/>
        </w:trPr>
        <w:tc>
          <w:tcPr>
            <w:tcW w:type="dxa" w:w="448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학습·출결</w:t>
            </w:r>
          </w:p>
        </w:tc>
        <w:tc>
          <w:tcPr>
            <w:tcW w:type="dxa" w:w="149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9~11</w:t>
            </w:r>
          </w:p>
        </w:tc>
        <w:tc>
          <w:tcPr>
            <w:tcW w:type="dxa" w:w="1237"/>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3</w:t>
            </w:r>
          </w:p>
        </w:tc>
        <w:tc>
          <w:tcPr>
            <w:tcW w:type="dxa" w:w="185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12</w:t>
            </w:r>
          </w:p>
        </w:tc>
      </w:tr>
      <w:tr>
        <w:trPr>
          <w:cantSplit/>
        </w:trPr>
        <w:tc>
          <w:tcPr>
            <w:tcW w:type="dxa" w:w="448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행동·건강 안전</w:t>
            </w:r>
          </w:p>
        </w:tc>
        <w:tc>
          <w:tcPr>
            <w:tcW w:type="dxa" w:w="149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12~13</w:t>
            </w:r>
          </w:p>
        </w:tc>
        <w:tc>
          <w:tcPr>
            <w:tcW w:type="dxa" w:w="1237"/>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2</w:t>
            </w:r>
          </w:p>
        </w:tc>
        <w:tc>
          <w:tcPr>
            <w:tcW w:type="dxa" w:w="185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8</w:t>
            </w:r>
          </w:p>
        </w:tc>
      </w:tr>
      <w:tr>
        <w:trPr>
          <w:cantSplit/>
        </w:trPr>
        <w:tc>
          <w:tcPr>
            <w:tcW w:type="dxa" w:w="448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장애·발달 및 접근성</w:t>
            </w:r>
          </w:p>
        </w:tc>
        <w:tc>
          <w:tcPr>
            <w:tcW w:type="dxa" w:w="149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14~15</w:t>
            </w:r>
          </w:p>
        </w:tc>
        <w:tc>
          <w:tcPr>
            <w:tcW w:type="dxa" w:w="1237"/>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2</w:t>
            </w:r>
          </w:p>
        </w:tc>
        <w:tc>
          <w:tcPr>
            <w:tcW w:type="dxa" w:w="185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8</w:t>
            </w:r>
          </w:p>
        </w:tc>
      </w:tr>
      <w:tr>
        <w:trPr>
          <w:cantSplit/>
        </w:trPr>
        <w:tc>
          <w:tcPr>
            <w:tcW w:type="dxa" w:w="448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가족·돌봄</w:t>
            </w:r>
          </w:p>
        </w:tc>
        <w:tc>
          <w:tcPr>
            <w:tcW w:type="dxa" w:w="149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16~18</w:t>
            </w:r>
          </w:p>
        </w:tc>
        <w:tc>
          <w:tcPr>
            <w:tcW w:type="dxa" w:w="1237"/>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3</w:t>
            </w:r>
          </w:p>
        </w:tc>
        <w:tc>
          <w:tcPr>
            <w:tcW w:type="dxa" w:w="185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12</w:t>
            </w:r>
          </w:p>
        </w:tc>
      </w:tr>
      <w:tr>
        <w:trPr>
          <w:cantSplit/>
        </w:trPr>
        <w:tc>
          <w:tcPr>
            <w:tcW w:type="dxa" w:w="448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경제·주거</w:t>
            </w:r>
          </w:p>
        </w:tc>
        <w:tc>
          <w:tcPr>
            <w:tcW w:type="dxa" w:w="149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19~21</w:t>
            </w:r>
          </w:p>
        </w:tc>
        <w:tc>
          <w:tcPr>
            <w:tcW w:type="dxa" w:w="1237"/>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3</w:t>
            </w:r>
          </w:p>
        </w:tc>
        <w:tc>
          <w:tcPr>
            <w:tcW w:type="dxa" w:w="185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12</w:t>
            </w:r>
          </w:p>
        </w:tc>
      </w:tr>
      <w:tr>
        <w:trPr>
          <w:cantSplit/>
        </w:trPr>
        <w:tc>
          <w:tcPr>
            <w:tcW w:type="dxa" w:w="448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관계·지지체계</w:t>
            </w:r>
          </w:p>
        </w:tc>
        <w:tc>
          <w:tcPr>
            <w:tcW w:type="dxa" w:w="149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22~23</w:t>
            </w:r>
          </w:p>
        </w:tc>
        <w:tc>
          <w:tcPr>
            <w:tcW w:type="dxa" w:w="1237"/>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2</w:t>
            </w:r>
          </w:p>
        </w:tc>
        <w:tc>
          <w:tcPr>
            <w:tcW w:type="dxa" w:w="185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8</w:t>
            </w:r>
          </w:p>
        </w:tc>
      </w:tr>
      <w:tr>
        <w:trPr>
          <w:cantSplit/>
        </w:trPr>
        <w:tc>
          <w:tcPr>
            <w:tcW w:type="dxa" w:w="4484"/>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7"/>
                <w:lang w:val="ko-KR" w:eastAsia="ko-KR"/>
              </w:rPr>
              <w:t>디지털·온라인 안전</w:t>
            </w:r>
          </w:p>
        </w:tc>
        <w:tc>
          <w:tcPr>
            <w:tcW w:type="dxa" w:w="1495"/>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7"/>
                <w:lang w:val="ko-KR" w:eastAsia="ko-KR"/>
              </w:rPr>
              <w:t>24~25</w:t>
            </w:r>
          </w:p>
        </w:tc>
        <w:tc>
          <w:tcPr>
            <w:tcW w:type="dxa" w:w="1237"/>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7"/>
                <w:lang w:val="ko-KR" w:eastAsia="ko-KR"/>
              </w:rPr>
              <w:t>2</w:t>
            </w:r>
          </w:p>
        </w:tc>
        <w:tc>
          <w:tcPr>
            <w:tcW w:type="dxa" w:w="1855"/>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7"/>
                <w:lang w:val="ko-KR" w:eastAsia="ko-KR"/>
              </w:rPr>
              <w:t>8</w:t>
            </w:r>
          </w:p>
        </w:tc>
      </w:tr>
    </w:tbl>
    <w:p>
      <w:pPr>
        <w:pStyle w:val="ArticleH2"/>
      </w:pPr>
      <w:r>
        <w:rPr>
          <w:rFonts w:ascii="NanumMyeongjo" w:hAnsi="NanumMyeongjo" w:eastAsia="NanumMyeongjo" w:cs="NanumMyeongjo"/>
          <w:b w:val="0"/>
          <w:i w:val="0"/>
          <w:lang w:val="ko-KR" w:eastAsia="ko-KR"/>
        </w:rPr>
        <w:t xml:space="preserve">3.1 문항 공통 채점 앵커와 문항별 앵커</w:t>
      </w:r>
    </w:p>
    <w:p>
      <w:pPr>
        <w:pStyle w:val="ArticleSmall"/>
      </w:pPr>
      <w:r>
        <w:rPr>
          <w:rFonts w:ascii="NanumMyeongjo" w:hAnsi="NanumMyeongjo" w:eastAsia="NanumMyeongjo" w:cs="NanumMyeongjo"/>
          <w:b w:val="0"/>
          <w:i w:val="0"/>
          <w:lang w:val="ko-KR" w:eastAsia="ko-KR"/>
        </w:rPr>
        <w:t xml:space="preserve">• 0점: 충분히 살펴봤고 해당 어려움이 보고·관찰되지 않음</w:t>
      </w:r>
    </w:p>
    <w:p>
      <w:pPr>
        <w:pStyle w:val="ArticleSmall"/>
      </w:pPr>
      <w:r>
        <w:rPr>
          <w:rFonts w:ascii="NanumMyeongjo" w:hAnsi="NanumMyeongjo" w:eastAsia="NanumMyeongjo" w:cs="NanumMyeongjo"/>
          <w:b w:val="0"/>
          <w:i w:val="0"/>
          <w:lang w:val="ko-KR" w:eastAsia="ko-KR"/>
        </w:rPr>
        <w:t xml:space="preserve">• 1점: 가끔 또는 가볍게 나타나며 일상 기능에 거의 영향이 없음, 또는 과거에 있었고 지금은 줄어듦</w:t>
      </w:r>
    </w:p>
    <w:p>
      <w:pPr>
        <w:pStyle w:val="ArticleSmall"/>
      </w:pPr>
      <w:r>
        <w:rPr>
          <w:rFonts w:ascii="NanumMyeongjo" w:hAnsi="NanumMyeongjo" w:eastAsia="NanumMyeongjo" w:cs="NanumMyeongjo"/>
          <w:b w:val="0"/>
          <w:i w:val="0"/>
          <w:lang w:val="ko-KR" w:eastAsia="ko-KR"/>
        </w:rPr>
        <w:t xml:space="preserve">• 2점: 반복해서 나타나고 수업·관계·생활 중 한 장면 이상에 뚜렷한 영향</w:t>
      </w:r>
    </w:p>
    <w:p>
      <w:pPr>
        <w:pStyle w:val="ArticleSmall"/>
      </w:pPr>
      <w:r>
        <w:rPr>
          <w:rFonts w:ascii="NanumMyeongjo" w:hAnsi="NanumMyeongjo" w:eastAsia="NanumMyeongjo" w:cs="NanumMyeongjo"/>
          <w:b w:val="0"/>
          <w:i w:val="0"/>
          <w:lang w:val="ko-KR" w:eastAsia="ko-KR"/>
        </w:rPr>
        <w:t xml:space="preserve">• 3점: 자주·지속적으로 나타나며 여러 장면의 기능이 제한되고, 학교 차원의 지원만으로는 부족함</w:t>
      </w:r>
    </w:p>
    <w:p>
      <w:pPr>
        <w:pStyle w:val="ArticleSmall"/>
      </w:pPr>
      <w:r>
        <w:rPr>
          <w:rFonts w:ascii="NanumMyeongjo" w:hAnsi="NanumMyeongjo" w:eastAsia="NanumMyeongjo" w:cs="NanumMyeongjo"/>
          <w:b w:val="0"/>
          <w:i w:val="0"/>
          <w:lang w:val="ko-KR" w:eastAsia="ko-KR"/>
        </w:rPr>
        <w:t xml:space="preserve">• 4점: 지금 진행 중이며 영향이 심각하거나 즉각적인 보호·전문 개입이 필요한 수준</w:t>
      </w:r>
    </w:p>
    <w:p>
      <w:pPr>
        <w:pStyle w:val="ArticleSmall"/>
      </w:pPr>
      <w:r>
        <w:rPr>
          <w:rFonts w:ascii="NanumMyeongjo" w:hAnsi="NanumMyeongjo" w:eastAsia="NanumMyeongjo" w:cs="NanumMyeongjo"/>
          <w:b w:val="0"/>
          <w:i w:val="0"/>
          <w:lang w:val="ko-KR" w:eastAsia="ko-KR"/>
        </w:rPr>
        <w:t>• 미상: 해당 정보가 아직 확보되지 않음. 0점으로 대치하지 않음</w:t>
      </w:r>
    </w:p>
    <w:p>
      <w:pPr>
        <w:pStyle w:val="ArticleBody"/>
        <w:jc w:val="both"/>
      </w:pPr>
      <w:r>
        <w:rPr>
          <w:rFonts w:ascii="NanumMyeongjo" w:hAnsi="NanumMyeongjo" w:eastAsia="NanumMyeongjo" w:cs="NanumMyeongjo"/>
          <w:b w:val="0"/>
          <w:i w:val="0"/>
          <w:lang w:val="ko-KR" w:eastAsia="ko-KR"/>
        </w:rPr>
        <w:t>최근 1개월의 상담·관찰을 중심으로 평가하되 정서 관련 변화는 최근 2주의 상태를 중점적으로 살핀다. 안전 사안은 시점보다 현재 위해 가능성을 직접 확인한다. 0점은 충분히 살펴본 범위에서 보고·관찰되지 않았음을 뜻하고, 정보 부족인 경우에는 미상을 사용한다.</w:t>
      </w:r>
    </w:p>
    <w:p>
      <w:pPr>
        <w:pStyle w:val="ArticleBody"/>
        <w:jc w:val="both"/>
      </w:pPr>
      <w:r>
        <w:rPr>
          <w:rFonts w:ascii="NanumMyeongjo" w:hAnsi="NanumMyeongjo" w:eastAsia="NanumMyeongjo" w:cs="NanumMyeongjo"/>
          <w:b w:val="0"/>
          <w:i w:val="0"/>
          <w:lang w:val="ko-KR" w:eastAsia="ko-KR"/>
        </w:rPr>
        <w:t xml:space="preserve">2026년 10월 26일 개편으로 공통 앵커 외에 문항마다 0~4점의 상태를 서술한 문항별 앵커(25문항 × 5수준, 125개 기술문)가 해석 지식베이스(oy-item-knowledge-v1.js)에 추가되었다. 예를 들어 9번(등교·출결 감소)의 3점은 “결석이 잦아 학업 진행과 학교 관계가 끊기고 있음”으로 기술된다. 문항별 앵커는 평가자 간 채점 일치도를 높이기 위한 개발판 기준이며, 전문가 내용타당도 검토와 평가자 간 일치도 연구를 거치지 않았다.</w:t>
      </w:r>
    </w:p>
    <w:p>
      <w:pPr>
        <w:pStyle w:val="ArticleBody"/>
        <w:jc w:val="both"/>
      </w:pPr>
      <w:r>
        <w:rPr>
          <w:rFonts w:ascii="NanumMyeongjo" w:hAnsi="NanumMyeongjo" w:eastAsia="NanumMyeongjo" w:cs="NanumMyeongjo"/>
          <w:b w:val="0"/>
          <w:i w:val="0"/>
          <w:lang w:val="ko-KR" w:eastAsia="ko-KR"/>
        </w:rPr>
        <w:t>S = Σxᵢ의 확정 총점은 모든 문항이 0~4점으로 응답된 경우에만 0~100점으로 기록한다. 일부 미상일 때에는 “확인된 합계 K / 확인된 문항의 최대점수”로만 적고 100점 기준으로 환산하지 않는다.</w:t>
      </w:r>
    </w:p>
    <w:p>
      <w:pPr>
        <w:pStyle w:val="ArticleH2"/>
      </w:pPr>
      <w:r>
        <w:rPr>
          <w:rFonts w:ascii="NanumMyeongjo" w:hAnsi="NanumMyeongjo" w:eastAsia="NanumMyeongjo" w:cs="NanumMyeongjo"/>
          <w:b w:val="0"/>
          <w:i w:val="0"/>
          <w:lang w:val="ko-KR" w:eastAsia="ko-KR"/>
        </w:rPr>
        <w:t>3.2 지원집중 영역 및 지원단계</w:t>
      </w:r>
    </w:p>
    <w:p>
      <w:pPr>
        <w:pStyle w:val="ArticleBody"/>
        <w:jc w:val="both"/>
      </w:pPr>
      <w:r>
        <w:rPr>
          <w:rFonts w:ascii="NanumMyeongjo" w:hAnsi="NanumMyeongjo" w:eastAsia="NanumMyeongjo" w:cs="NanumMyeongjo"/>
          <w:b w:val="0"/>
          <w:i w:val="0"/>
          <w:lang w:val="ko-KR" w:eastAsia="ko-KR"/>
        </w:rPr>
        <w:t>하나의 영역에서 3~4점 문항이 1개 이상 또는 2점 이상 문항이 2개 이상 확인되면 그 영역을 지원집중 영역 C로 집계한다. 3~4점 문항 전체의 개수를 H라고 할 때, C≥3이고 H≥3이면 다기관 집중지원 검토(3단계), 그 밖에 C≥2이면 학맞통 협의 검토(2단계), 그 밖에 2점 이상 문항이 있으면 개별지원 검토(1단계), 나머지는 관찰·예방(0단계)이다.</w:t>
      </w:r>
    </w:p>
    <w:p>
      <w:pPr>
        <w:pStyle w:val="ArticleBody"/>
        <w:jc w:val="both"/>
      </w:pPr>
      <w:r>
        <w:rPr>
          <w:rFonts w:ascii="NanumMyeongjo" w:hAnsi="NanumMyeongjo" w:eastAsia="NanumMyeongjo" w:cs="NanumMyeongjo"/>
          <w:b w:val="0"/>
          <w:i w:val="0"/>
          <w:lang w:val="ko-KR" w:eastAsia="ko-KR"/>
        </w:rPr>
        <w:t>이 단계는 진단이나 법적 선정의 절단점이 아니다. 한 영역에서 4점인 학생과 여러 영역에 2점이 있는 학생은 총점이 같아도 지원방향이 다르다. 또한 0단계라 하더라도 핵심 안전문항 1점은 별도 안전확인을 요구한다.</w:t>
      </w:r>
    </w:p>
    <w:p>
      <w:pPr>
        <w:pStyle w:val="ArticleTableLabel"/>
      </w:pPr>
      <w:r>
        <w:rPr>
          <w:rFonts w:ascii="NanumGothic" w:hAnsi="NanumGothic" w:eastAsia="NanumGothic" w:cs="NanumGothic"/>
          <w:b/>
          <w:sz w:val="18"/>
          <w:lang w:val="ko-KR" w:eastAsia="ko-KR"/>
        </w:rPr>
        <w:t xml:space="preserve">〈표 4〉  CORE 지원검토 단계 규칙</w:t>
      </w:r>
    </w:p>
    <w:tbl>
      <w:tblPr>
        <w:tblW w:type="auto" w:w="0"/>
        <w:jc w:val="center"/>
        <w:tblLayout w:type="fixed"/>
        <w:tblLook w:firstColumn="1" w:firstRow="1" w:lastColumn="0" w:lastRow="0" w:noHBand="0" w:noVBand="1" w:val="04A0"/>
      </w:tblPr>
      <w:tblGrid>
        <w:gridCol w:w="1392"/>
        <w:gridCol w:w="2371"/>
        <w:gridCol w:w="5309"/>
      </w:tblGrid>
      <w:tr>
        <w:trPr>
          <w:cantSplit/>
          <w:tblHeader w:val="true"/>
        </w:trPr>
        <w:tc>
          <w:tcPr>
            <w:tcW w:type="dxa" w:w="1392"/>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검토 수준</w:t>
            </w:r>
          </w:p>
        </w:tc>
        <w:tc>
          <w:tcPr>
            <w:tcW w:type="dxa" w:w="2371"/>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점수 규칙</w:t>
            </w:r>
          </w:p>
        </w:tc>
        <w:tc>
          <w:tcPr>
            <w:tcW w:type="dxa" w:w="5309"/>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현장적 의미</w:t>
            </w:r>
          </w:p>
        </w:tc>
      </w:tr>
      <w:tr>
        <w:trPr>
          <w:cantSplit/>
        </w:trPr>
        <w:tc>
          <w:tcPr>
            <w:tcW w:type="dxa" w:w="139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3단계</w:t>
            </w:r>
          </w:p>
        </w:tc>
        <w:tc>
          <w:tcPr>
            <w:tcW w:type="dxa" w:w="237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C≥3 및 H≥3</w:t>
            </w:r>
          </w:p>
        </w:tc>
        <w:tc>
          <w:tcPr>
            <w:tcW w:type="dxa" w:w="5309"/>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다기관 공동사정·집중 개입 필요성 검토</w:t>
            </w:r>
          </w:p>
        </w:tc>
      </w:tr>
      <w:tr>
        <w:trPr>
          <w:cantSplit/>
        </w:trPr>
        <w:tc>
          <w:tcPr>
            <w:tcW w:type="dxa" w:w="139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2단계</w:t>
            </w:r>
          </w:p>
        </w:tc>
        <w:tc>
          <w:tcPr>
            <w:tcW w:type="dxa" w:w="237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C≥2</w:t>
            </w:r>
          </w:p>
        </w:tc>
        <w:tc>
          <w:tcPr>
            <w:tcW w:type="dxa" w:w="5309"/>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학맞통 협의·학교-지역 복합지원 검토</w:t>
            </w:r>
          </w:p>
        </w:tc>
      </w:tr>
      <w:tr>
        <w:trPr>
          <w:cantSplit/>
        </w:trPr>
        <w:tc>
          <w:tcPr>
            <w:tcW w:type="dxa" w:w="139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1단계</w:t>
            </w:r>
          </w:p>
        </w:tc>
        <w:tc>
          <w:tcPr>
            <w:tcW w:type="dxa" w:w="237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어느 문항이든 2점 이상</w:t>
            </w:r>
          </w:p>
        </w:tc>
        <w:tc>
          <w:tcPr>
            <w:tcW w:type="dxa" w:w="5309"/>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해당 영역 개별지원 및 심층면담</w:t>
            </w:r>
          </w:p>
        </w:tc>
      </w:tr>
      <w:tr>
        <w:trPr>
          <w:cantSplit/>
        </w:trPr>
        <w:tc>
          <w:tcPr>
            <w:tcW w:type="dxa" w:w="1392"/>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0단계</w:t>
            </w:r>
          </w:p>
        </w:tc>
        <w:tc>
          <w:tcPr>
            <w:tcW w:type="dxa" w:w="2371"/>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그 밖의 경우</w:t>
            </w:r>
          </w:p>
        </w:tc>
        <w:tc>
          <w:tcPr>
            <w:tcW w:type="dxa" w:w="5309"/>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학생 희망 확인·관찰·재평가</w:t>
            </w:r>
          </w:p>
        </w:tc>
      </w:tr>
    </w:tbl>
    <w:p>
      <w:pPr>
        <w:pStyle w:val="ArticleH1"/>
      </w:pPr>
      <w:r>
        <w:rPr>
          <w:rFonts w:ascii="NanumMyeongjo" w:hAnsi="NanumMyeongjo" w:eastAsia="NanumMyeongjo" w:cs="NanumMyeongjo"/>
          <w:b w:val="0"/>
          <w:i w:val="0"/>
          <w:lang w:val="ko-KR" w:eastAsia="ko-KR"/>
        </w:rPr>
        <w:t>4. 안전판정·미상·편향 관리</w:t>
      </w:r>
    </w:p>
    <w:p>
      <w:pPr>
        <w:pStyle w:val="ArticleBody"/>
        <w:jc w:val="both"/>
      </w:pPr>
      <w:r>
        <w:rPr>
          <w:rFonts w:ascii="NanumMyeongjo" w:hAnsi="NanumMyeongjo" w:eastAsia="NanumMyeongjo" w:cs="NanumMyeongjo"/>
          <w:b w:val="0"/>
          <w:i w:val="0"/>
          <w:lang w:val="ko-KR" w:eastAsia="ko-KR"/>
        </w:rPr>
        <w:t>1·2·7·25번의 1점 이상 양성 응답은 현재 안전과 사안별 신고·보호 필요를 별도 확인한다. 4번이 1점 이상 또는 5·12·13번이 3점 이상이면 추가 질문에 “현재 위험 있음 / 현재 즉각적 위험 확인되지 않음 / 미상”을 받는다. 미확인은 위험 확정으로 치환하지 않고 보류 상태로 기록한다.</w:t>
      </w:r>
    </w:p>
    <w:p>
      <w:pPr>
        <w:pStyle w:val="ArticleBody"/>
        <w:jc w:val="both"/>
      </w:pPr>
      <w:r>
        <w:rPr>
          <w:rFonts w:ascii="NanumMyeongjo" w:hAnsi="NanumMyeongjo" w:eastAsia="NanumMyeongjo" w:cs="NanumMyeongjo"/>
          <w:b w:val="0"/>
          <w:i w:val="0"/>
          <w:lang w:val="ko-KR" w:eastAsia="ko-KR"/>
        </w:rPr>
        <w:t>별도의 긴급 신호로 현재 자해·자살 시도나 구체적 계획·수단, 학대·성폭력 의심, 중대한 폭력과 상해, 착취·협박·실종 등 안전 확보 곤란이 확인되면 평가 완료를 기다리지 않고 관련 기관의 법정 신고·긴급 대응 절차를 이행한다.</w:t>
      </w:r>
    </w:p>
    <w:p>
      <w:pPr>
        <w:pStyle w:val="ArticleBody"/>
        <w:jc w:val="both"/>
      </w:pPr>
      <w:r>
        <w:rPr>
          <w:rFonts w:ascii="NanumMyeongjo" w:hAnsi="NanumMyeongjo" w:eastAsia="NanumMyeongjo" w:cs="NanumMyeongjo"/>
          <w:b w:val="0"/>
          <w:i w:val="0"/>
          <w:lang w:val="ko-KR" w:eastAsia="ko-KR"/>
        </w:rPr>
        <w:t>안전신호가 있는 경우 교사의 보호자 연락이 학생에게 위해를 가중할 수 있는지 검토한다. 특히 가정 내 위해가 의심된다면 학생과 담당 보호인력, 법정 절차를 중심으로 안전한 소통 경로를 정해야 한다. 안전 확인을 지연한다는 의미는 아니다.</w:t>
      </w:r>
    </w:p>
    <w:p>
      <w:pPr>
        <w:pStyle w:val="ArticleH2"/>
      </w:pPr>
      <w:r>
        <w:rPr>
          <w:rFonts w:ascii="NanumMyeongjo" w:hAnsi="NanumMyeongjo" w:eastAsia="NanumMyeongjo" w:cs="NanumMyeongjo"/>
          <w:b w:val="0"/>
          <w:i w:val="0"/>
          <w:lang w:val="ko-KR" w:eastAsia="ko-KR"/>
        </w:rPr>
        <w:t>4.1 미상·가정·부정 서술의 원칙</w:t>
      </w:r>
    </w:p>
    <w:p>
      <w:pPr>
        <w:pStyle w:val="ArticleSmall"/>
      </w:pPr>
      <w:r>
        <w:rPr>
          <w:rFonts w:ascii="NanumMyeongjo" w:hAnsi="NanumMyeongjo" w:eastAsia="NanumMyeongjo" w:cs="NanumMyeongjo"/>
          <w:b w:val="0"/>
          <w:i w:val="0"/>
          <w:lang w:val="ko-KR" w:eastAsia="ko-KR"/>
        </w:rPr>
        <w:t>• “현재 확인되지 않음”과 “실제로 발생하지 않음”을 기록에서 구분한다.</w:t>
      </w:r>
    </w:p>
    <w:p>
      <w:pPr>
        <w:pStyle w:val="ArticleSmall"/>
      </w:pPr>
      <w:r>
        <w:rPr>
          <w:rFonts w:ascii="NanumMyeongjo" w:hAnsi="NanumMyeongjo" w:eastAsia="NanumMyeongjo" w:cs="NanumMyeongjo"/>
          <w:b w:val="0"/>
          <w:i w:val="0"/>
          <w:lang w:val="ko-KR" w:eastAsia="ko-KR"/>
        </w:rPr>
        <w:t>• “자해는 없다고 함, 그러나 오늘 죽고 싶다는 말을 함”은 후반부 안전신호를 삭제하지 않는다.</w:t>
      </w:r>
    </w:p>
    <w:p>
      <w:pPr>
        <w:pStyle w:val="ArticleSmall"/>
      </w:pPr>
      <w:r>
        <w:rPr>
          <w:rFonts w:ascii="NanumMyeongjo" w:hAnsi="NanumMyeongjo" w:eastAsia="NanumMyeongjo" w:cs="NanumMyeongjo"/>
          <w:b w:val="0"/>
          <w:i w:val="0"/>
          <w:lang w:val="ko-KR" w:eastAsia="ko-KR"/>
        </w:rPr>
        <w:t>• “가정형 사례로 폭력이 발생했다면”은 실제 피해사실로 코딩하지 않는다.</w:t>
      </w:r>
    </w:p>
    <w:p>
      <w:pPr>
        <w:pStyle w:val="ArticleSmall"/>
      </w:pPr>
      <w:r>
        <w:rPr>
          <w:rFonts w:ascii="NanumMyeongjo" w:hAnsi="NanumMyeongjo" w:eastAsia="NanumMyeongjo" w:cs="NanumMyeongjo"/>
          <w:b w:val="0"/>
          <w:i w:val="0"/>
          <w:lang w:val="ko-KR" w:eastAsia="ko-KR"/>
        </w:rPr>
        <w:t>• “가족이 경제적으로 어려움”과 “아동 방임 의심”은 별도 근거 없이는 연결하지 않는다.</w:t>
      </w:r>
    </w:p>
    <w:p>
      <w:pPr>
        <w:pStyle w:val="ArticleSmall"/>
      </w:pPr>
      <w:r>
        <w:rPr>
          <w:rFonts w:ascii="NanumMyeongjo" w:hAnsi="NanumMyeongjo" w:eastAsia="NanumMyeongjo" w:cs="NanumMyeongjo"/>
          <w:b w:val="0"/>
          <w:i w:val="0"/>
          <w:lang w:val="ko-KR" w:eastAsia="ko-KR"/>
        </w:rPr>
        <w:t>• 같은 사건을 중복 문항에 반영했다면 각 문항에 독립적인 생활기능 피해가 있는지 확인한다.</w:t>
      </w:r>
    </w:p>
    <w:p>
      <w:pPr>
        <w:pStyle w:val="ArticleH1"/>
      </w:pPr>
      <w:r>
        <w:rPr>
          <w:rFonts w:ascii="NanumMyeongjo" w:hAnsi="NanumMyeongjo" w:eastAsia="NanumMyeongjo" w:cs="NanumMyeongjo"/>
          <w:b w:val="0"/>
          <w:i w:val="0"/>
          <w:lang w:val="ko-KR" w:eastAsia="ko-KR"/>
        </w:rPr>
        <w:t>5. 모델 구조와 역할 분담</w:t>
      </w:r>
    </w:p>
    <w:p>
      <w:pPr>
        <w:keepNext/>
        <w:jc w:val="center"/>
      </w:pPr>
      <w:r>
        <w:drawing>
          <wp:inline xmlns:a="http://schemas.openxmlformats.org/drawingml/2006/main" xmlns:pic="http://schemas.openxmlformats.org/drawingml/2006/picture">
            <wp:extent cx="5652000" cy="3593660"/>
            <wp:docPr id="3" name="Picture 3"/>
            <wp:cNvGraphicFramePr>
              <a:graphicFrameLocks noChangeAspect="1"/>
            </wp:cNvGraphicFramePr>
            <a:graphic>
              <a:graphicData uri="http://schemas.openxmlformats.org/drawingml/2006/picture">
                <pic:pic>
                  <pic:nvPicPr>
                    <pic:cNvPr id="0" name="diagram_3.png"/>
                    <pic:cNvPicPr/>
                  </pic:nvPicPr>
                  <pic:blipFill>
                    <a:blip r:embed="rId13"/>
                    <a:stretch>
                      <a:fillRect/>
                    </a:stretch>
                  </pic:blipFill>
                  <pic:spPr>
                    <a:xfrm>
                      <a:off x="0" y="0"/>
                      <a:ext cx="5652000" cy="3593660"/>
                    </a:xfrm>
                    <a:prstGeom prst="rect"/>
                  </pic:spPr>
                </pic:pic>
              </a:graphicData>
            </a:graphic>
          </wp:inline>
        </w:drawing>
      </w:r>
    </w:p>
    <w:p>
      <w:pPr>
        <w:pStyle w:val="ArticleCaption"/>
      </w:pPr>
      <w:r>
        <w:rPr>
          <w:rFonts w:ascii="NanumMyeongjo" w:hAnsi="NanumMyeongjo" w:eastAsia="NanumMyeongjo" w:cs="NanumMyeongjo"/>
          <w:b w:val="0"/>
          <w:i w:val="0"/>
          <w:lang w:val="ko-KR" w:eastAsia="ko-KR"/>
        </w:rPr>
        <w:t xml:space="preserve">〈그림 3〉 CORE와 해석·사례관리·자원연계 모델 계층 (개발자 작성 모형)</w:t>
      </w:r>
    </w:p>
    <w:p>
      <w:pPr>
        <w:pStyle w:val="ArticleCaption"/>
      </w:pPr>
      <w:r>
        <w:rPr>
          <w:rFonts w:ascii="NanumMyeongjo" w:hAnsi="NanumMyeongjo" w:eastAsia="NanumMyeongjo" w:cs="NanumMyeongjo"/>
          <w:b w:val="0"/>
          <w:i w:val="0"/>
          <w:lang w:val="ko-KR" w:eastAsia="ko-KR"/>
        </w:rPr>
        <w:t xml:space="preserve">주. CORE와 해석·사례관리·자원연계 계층. 실무자 검토를 중심으로 구성한 모델 지도.</w:t>
      </w:r>
    </w:p>
    <w:p>
      <w:pPr>
        <w:pStyle w:val="ArticleTableLabel"/>
      </w:pPr>
      <w:r>
        <w:rPr>
          <w:rFonts w:ascii="NanumGothic" w:hAnsi="NanumGothic" w:eastAsia="NanumGothic" w:cs="NanumGothic"/>
          <w:b/>
          <w:sz w:val="18"/>
          <w:lang w:val="ko-KR" w:eastAsia="ko-KR"/>
        </w:rPr>
        <w:t xml:space="preserve">〈표 5〉  모델별 역할과 판정 변경 권한</w:t>
      </w:r>
    </w:p>
    <w:tbl>
      <w:tblPr>
        <w:tblW w:type="auto" w:w="0"/>
        <w:jc w:val="center"/>
        <w:tblLayout w:type="fixed"/>
        <w:tblLook w:firstColumn="1" w:firstRow="1" w:lastColumn="0" w:lastRow="0" w:noHBand="0" w:noVBand="1" w:val="04A0"/>
      </w:tblPr>
      <w:tblGrid>
        <w:gridCol w:w="1546"/>
        <w:gridCol w:w="4948"/>
        <w:gridCol w:w="2577"/>
      </w:tblGrid>
      <w:tr>
        <w:trPr>
          <w:cantSplit/>
          <w:tblHeader w:val="true"/>
        </w:trPr>
        <w:tc>
          <w:tcPr>
            <w:tcW w:type="dxa" w:w="1546"/>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모델</w:t>
            </w:r>
          </w:p>
        </w:tc>
        <w:tc>
          <w:tcPr>
            <w:tcW w:type="dxa" w:w="4948"/>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운영상 역할</w:t>
            </w:r>
          </w:p>
        </w:tc>
        <w:tc>
          <w:tcPr>
            <w:tcW w:type="dxa" w:w="2577"/>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판정 변경 가능 여부</w:t>
            </w:r>
          </w:p>
        </w:tc>
      </w:tr>
      <w:tr>
        <w:trPr>
          <w:cantSplit/>
        </w:trPr>
        <w:tc>
          <w:tcPr>
            <w:tcW w:type="dxa" w:w="154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CORE</w:t>
            </w:r>
          </w:p>
        </w:tc>
        <w:tc>
          <w:tcPr>
            <w:tcW w:type="dxa" w:w="4948"/>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25문항·미상·안전·0~3 지원검토 수준</w:t>
            </w:r>
          </w:p>
        </w:tc>
        <w:tc>
          <w:tcPr>
            <w:tcW w:type="dxa" w:w="2577"/>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CORE 단일 원본</w:t>
            </w:r>
          </w:p>
        </w:tc>
      </w:tr>
      <w:tr>
        <w:trPr>
          <w:cantSplit/>
        </w:trPr>
        <w:tc>
          <w:tcPr>
            <w:tcW w:type="dxa" w:w="154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ICSI</w:t>
            </w:r>
          </w:p>
        </w:tc>
        <w:tc>
          <w:tcPr>
            <w:tcW w:type="dxa" w:w="4948"/>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점수별 의미·평가 화면의 24개 교차가설</w:t>
            </w:r>
          </w:p>
        </w:tc>
        <w:tc>
          <w:tcPr>
            <w:tcW w:type="dxa" w:w="2577"/>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공식 점수 변경 불가</w:t>
            </w:r>
          </w:p>
        </w:tc>
      </w:tr>
      <w:tr>
        <w:trPr>
          <w:cantSplit/>
        </w:trPr>
        <w:tc>
          <w:tcPr>
            <w:tcW w:type="dxa" w:w="154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NCB·OY-CIE</w:t>
            </w:r>
          </w:p>
        </w:tc>
        <w:tc>
          <w:tcPr>
            <w:tcW w:type="dxa" w:w="4948"/>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서술 문장 분해·근거 추적·맥락</w:t>
            </w:r>
          </w:p>
        </w:tc>
        <w:tc>
          <w:tcPr>
            <w:tcW w:type="dxa" w:w="2577"/>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공식 점수 변경 불가</w:t>
            </w:r>
          </w:p>
        </w:tc>
      </w:tr>
      <w:tr>
        <w:trPr>
          <w:cantSplit/>
        </w:trPr>
        <w:tc>
          <w:tcPr>
            <w:tcW w:type="dxa" w:w="154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K-CARR</w:t>
            </w:r>
          </w:p>
        </w:tc>
        <w:tc>
          <w:tcPr>
            <w:tcW w:type="dxa" w:w="4948"/>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한국어 사례분석·잠정 판정문·확인질문</w:t>
            </w:r>
          </w:p>
        </w:tc>
        <w:tc>
          <w:tcPr>
            <w:tcW w:type="dxa" w:w="2577"/>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공식 점수 변경 불가</w:t>
            </w:r>
          </w:p>
        </w:tc>
      </w:tr>
      <w:tr>
        <w:trPr>
          <w:cantSplit/>
        </w:trPr>
        <w:tc>
          <w:tcPr>
            <w:tcW w:type="dxa" w:w="154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ICMS</w:t>
            </w:r>
          </w:p>
        </w:tc>
        <w:tc>
          <w:tcPr>
            <w:tcW w:type="dxa" w:w="4948"/>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종합사정·사례협의·서비스계획</w:t>
            </w:r>
          </w:p>
        </w:tc>
        <w:tc>
          <w:tcPr>
            <w:tcW w:type="dxa" w:w="2577"/>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담당자 승인 전 초안</w:t>
            </w:r>
          </w:p>
        </w:tc>
      </w:tr>
      <w:tr>
        <w:trPr>
          <w:cantSplit/>
        </w:trPr>
        <w:tc>
          <w:tcPr>
            <w:tcW w:type="dxa" w:w="154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RRA·지역자원 DB</w:t>
            </w:r>
          </w:p>
        </w:tc>
        <w:tc>
          <w:tcPr>
            <w:tcW w:type="dxa" w:w="4948"/>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필요 서비스 및 기관 후보·상태 검토</w:t>
            </w:r>
          </w:p>
        </w:tc>
        <w:tc>
          <w:tcPr>
            <w:tcW w:type="dxa" w:w="2577"/>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서비스 신청·접수 완료 아님</w:t>
            </w:r>
          </w:p>
        </w:tc>
      </w:tr>
      <w:tr>
        <w:trPr>
          <w:cantSplit/>
        </w:trPr>
        <w:tc>
          <w:tcPr>
            <w:tcW w:type="dxa" w:w="154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문항 지식·앵커</w:t>
            </w:r>
          </w:p>
        </w:tc>
        <w:tc>
          <w:tcPr>
            <w:tcW w:type="dxa" w:w="4948"/>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문항별 0~4점 앵커·일상 단서·첫 질문·역할별 행동</w:t>
            </w:r>
          </w:p>
        </w:tc>
        <w:tc>
          <w:tcPr>
            <w:tcW w:type="dxa" w:w="2577"/>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공식 점수 변경 불가</w:t>
            </w:r>
          </w:p>
        </w:tc>
      </w:tr>
      <w:tr>
        <w:trPr>
          <w:cantSplit/>
        </w:trPr>
        <w:tc>
          <w:tcPr>
            <w:tcW w:type="dxa" w:w="154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교차 패턴(23)</w:t>
            </w:r>
          </w:p>
        </w:tc>
        <w:tc>
          <w:tcPr>
            <w:tcW w:type="dxa" w:w="4948"/>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두 문항 이상 동시 상승의 “문제 유지 고리” 서술</w:t>
            </w:r>
          </w:p>
        </w:tc>
        <w:tc>
          <w:tcPr>
            <w:tcW w:type="dxa" w:w="2577"/>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공식 점수 변경 불가</w:t>
            </w:r>
          </w:p>
        </w:tc>
      </w:tr>
      <w:tr>
        <w:trPr>
          <w:cantSplit/>
        </w:trPr>
        <w:tc>
          <w:tcPr>
            <w:tcW w:type="dxa" w:w="154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심층 해석지</w:t>
            </w:r>
          </w:p>
        </w:tc>
        <w:tc>
          <w:tcPr>
            <w:tcW w:type="dxa" w:w="4948"/>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① 척도 해석 탭의 해석지·개입 수준·계획 초안</w:t>
            </w:r>
          </w:p>
        </w:tc>
        <w:tc>
          <w:tcPr>
            <w:tcW w:type="dxa" w:w="2577"/>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담당자 확인 전 초안</w:t>
            </w:r>
          </w:p>
        </w:tc>
      </w:tr>
      <w:tr>
        <w:trPr>
          <w:cantSplit/>
        </w:trPr>
        <w:tc>
          <w:tcPr>
            <w:tcW w:type="dxa" w:w="154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서술기록 분석</w:t>
            </w:r>
          </w:p>
        </w:tc>
        <w:tc>
          <w:tcPr>
            <w:tcW w:type="dxa" w:w="4948"/>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선택 서술의 단서·부정·추정·출처 분류, 척도와 대조</w:t>
            </w:r>
          </w:p>
        </w:tc>
        <w:tc>
          <w:tcPr>
            <w:tcW w:type="dxa" w:w="2577"/>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공식 점수 변경 불가</w:t>
            </w:r>
          </w:p>
        </w:tc>
      </w:tr>
      <w:tr>
        <w:trPr>
          <w:cantSplit/>
        </w:trPr>
        <w:tc>
          <w:tcPr>
            <w:tcW w:type="dxa" w:w="154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SUPPORT-5</w:t>
            </w:r>
          </w:p>
        </w:tc>
        <w:tc>
          <w:tcPr>
            <w:tcW w:type="dxa" w:w="4948"/>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통합지원 1~5단계 보조지표(개발형)</w:t>
            </w:r>
          </w:p>
        </w:tc>
        <w:tc>
          <w:tcPr>
            <w:tcW w:type="dxa" w:w="2577"/>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공식 판정 아님</w:t>
            </w:r>
          </w:p>
        </w:tc>
      </w:tr>
      <w:tr>
        <w:trPr>
          <w:cantSplit/>
        </w:trPr>
        <w:tc>
          <w:tcPr>
            <w:tcW w:type="dxa" w:w="1546"/>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관계도</w:t>
            </w:r>
          </w:p>
        </w:tc>
        <w:tc>
          <w:tcPr>
            <w:tcW w:type="dxa" w:w="4948"/>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가계도·생태도: 확인된 관계만 표시</w:t>
            </w:r>
          </w:p>
        </w:tc>
        <w:tc>
          <w:tcPr>
            <w:tcW w:type="dxa" w:w="2577"/>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가족관계 자동 단정 금지</w:t>
            </w:r>
          </w:p>
        </w:tc>
      </w:tr>
    </w:tbl>
    <w:p>
      <w:pPr>
        <w:pStyle w:val="ArticleH2"/>
      </w:pPr>
      <w:r>
        <w:rPr>
          <w:rFonts w:ascii="NanumMyeongjo" w:hAnsi="NanumMyeongjo" w:eastAsia="NanumMyeongjo" w:cs="NanumMyeongjo"/>
          <w:b w:val="0"/>
          <w:i w:val="0"/>
          <w:lang w:val="ko-KR" w:eastAsia="ko-KR"/>
        </w:rPr>
        <w:t>5.1 모델 간 충돌 및 불일치 해결</w:t>
      </w:r>
    </w:p>
    <w:p>
      <w:pPr>
        <w:pStyle w:val="ArticleBody"/>
        <w:jc w:val="both"/>
      </w:pPr>
      <w:r>
        <w:rPr>
          <w:rFonts w:ascii="NanumMyeongjo" w:hAnsi="NanumMyeongjo" w:eastAsia="NanumMyeongjo" w:cs="NanumMyeongjo"/>
          <w:b w:val="0"/>
          <w:i w:val="0"/>
          <w:lang w:val="ko-KR" w:eastAsia="ko-KR"/>
        </w:rPr>
        <w:t>CORE와 서술형 모델의 해석이 충돌할 때 우선순위는 안전 직접확인→운영 CORE의 공식 입력과 점수→면담 원문·출처 확인→모델별 가설이다. 예컨대 20번 주거 0점인데 서술에 주거불안이 적혀 있으면 해석모델이 점수를 자동 3점으로 바꾸지 않고 “문항 응답과 서술이 상충함, 재사정 필요”로 표시한다.</w:t>
      </w:r>
    </w:p>
    <w:p>
      <w:pPr>
        <w:pStyle w:val="ArticleBody"/>
        <w:jc w:val="both"/>
      </w:pPr>
      <w:r>
        <w:rPr>
          <w:rFonts w:ascii="NanumMyeongjo" w:hAnsi="NanumMyeongjo" w:eastAsia="NanumMyeongjo" w:cs="NanumMyeongjo"/>
          <w:b w:val="0"/>
          <w:i w:val="0"/>
          <w:lang w:val="ko-KR" w:eastAsia="ko-KR"/>
        </w:rPr>
        <w:t>모델들은 서로 다른 기능계약을 갖는다. 추론의 다양성과 결과 설명의 풍부함이 과도한 확신이나 자료 누출로 이어지지 않도록 각 단계의 출력에 근거문항(Q번호), 서술증거(E번호), 확인상태, 모델버전, 판정권한, 확정 담당자 정보를 남기는 방식이 바람직하다.</w:t>
      </w:r>
    </w:p>
    <w:p>
      <w:pPr>
        <w:pStyle w:val="ArticleH2"/>
      </w:pPr>
      <w:r>
        <w:rPr>
          <w:rFonts w:ascii="NanumMyeongjo" w:hAnsi="NanumMyeongjo" w:eastAsia="NanumMyeongjo" w:cs="NanumMyeongjo"/>
          <w:b w:val="0"/>
          <w:i w:val="0"/>
          <w:lang w:val="ko-KR" w:eastAsia="ko-KR"/>
        </w:rPr>
        <w:t xml:space="preserve">5.2 2026년 10월 해석 계층 개편</w:t>
      </w:r>
    </w:p>
    <w:p>
      <w:pPr>
        <w:pStyle w:val="ArticleBody"/>
        <w:jc w:val="both"/>
      </w:pPr>
      <w:r>
        <w:rPr>
          <w:rFonts w:ascii="NanumMyeongjo" w:hAnsi="NanumMyeongjo" w:eastAsia="NanumMyeongjo" w:cs="NanumMyeongjo"/>
          <w:b w:val="0"/>
          <w:i w:val="0"/>
          <w:lang w:val="ko-KR" w:eastAsia="ko-KR"/>
        </w:rPr>
        <w:t xml:space="preserve">2026년 10월 26일 운영 사이트에는 여러 갈래로 흩어져 있던 문항 해석 지식(문항 지식 5벌, 교차 해석 7벌, 해석문 생성 6갈래로 개발 기록에 정리됨)을 하나의 지식베이스로 모은 해석 계층이 반영되었다. 구성은 문항 지식(oy-item-knowledge-v1.js), 교차 패턴(oy-cross-patterns-v1.js), 심층 해석(oy-deep-interpretation-v1.js), 서술기록 분석(oy-narrative-interpretation-v1.js), 보조지표 도식(oy-scale-figures-v1.js)이다. 다섯 모듈은 모두 CORE(criteria.js)의 결과를 읽기만 하며 원점수와 안전판정을 바꾸지 않는다.</w:t>
      </w:r>
    </w:p>
    <w:p>
      <w:pPr>
        <w:pStyle w:val="ArticleBody"/>
        <w:jc w:val="both"/>
      </w:pPr>
      <w:r>
        <w:rPr>
          <w:rFonts w:ascii="NanumMyeongjo" w:hAnsi="NanumMyeongjo" w:eastAsia="NanumMyeongjo" w:cs="NanumMyeongjo"/>
          <w:b w:val="0"/>
          <w:i w:val="0"/>
          <w:lang w:val="ko-KR" w:eastAsia="ko-KR"/>
        </w:rPr>
        <w:t xml:space="preserve">심층 해석지는 다면적 인성검사의 해석 보고서 형식을 참고하여 요약 → 응답 타당도 점검 → 영역 프로파일 → 상위 영역 패턴 → 영역별 세부 해석 → 결정적 문항 → 교차 패턴 → 강점·보호요인 → 사례 이해 → 개입 수준과 주관기관 → 생태체계 사정 → 단계별 개입계획 → 역할별 실천 과제 → 면담 질문 → 재평가 기준의 순서로 구성된다. 진단명, 학대 확정, 자살위험 등급 표현은 쓰지 않으며, “참고자료이며 판정이 아니다”라는 유보 고지는 문장마다 반복하지 않고 해석지 하단에 한 번 둔다(2026.10.26 개편 원칙).</w:t>
      </w:r>
    </w:p>
    <w:p>
      <w:pPr>
        <w:pStyle w:val="ArticleBody"/>
        <w:jc w:val="both"/>
      </w:pPr>
      <w:r>
        <w:rPr>
          <w:rFonts w:ascii="NanumMyeongjo" w:hAnsi="NanumMyeongjo" w:eastAsia="NanumMyeongjo" w:cs="NanumMyeongjo"/>
          <w:b w:val="0"/>
          <w:i w:val="0"/>
          <w:lang w:val="ko-KR" w:eastAsia="ko-KR"/>
        </w:rPr>
        <w:t xml:space="preserve">서술기록 분석은 실무자가 선택적으로 입력한 자유서술을 단서 사전으로 분류하되, 부정(“없다고 함”), 추정·가정, 전언 출처, 과거 언급을 구분한다. 서술에 현재 안전 단서가 있으면 개입 수준을 높이고 당일 안전면담을 제안하지만, 서술은 공식 점수를 바꾸지 않는다. 결과 파일과 인쇄물에는 실무자가 “서술 포함”을 선택한 경우에만 서술이 들어간다.</w:t>
      </w:r>
    </w:p>
    <w:p>
      <w:pPr>
        <w:pStyle w:val="ArticleBody"/>
        <w:jc w:val="both"/>
      </w:pPr>
      <w:r>
        <w:rPr>
          <w:rFonts w:ascii="NanumMyeongjo" w:hAnsi="NanumMyeongjo" w:eastAsia="NanumMyeongjo" w:cs="NanumMyeongjo"/>
          <w:b w:val="0"/>
          <w:i w:val="0"/>
          <w:lang w:val="ko-KR" w:eastAsia="ko-KR"/>
        </w:rPr>
        <w:t xml:space="preserve">보조지표 도식은 영역별 응답강도를 척도 가능 범위(문항당 0~4점)의 4등분 구간으로 보여 주는 표·막대·생태체계 링이다. 이 구간은 모집단 규준이나 백분위가 아니며, 이 점은 화면 하단에 한 번 고지된다.</w:t>
      </w:r>
    </w:p>
    <w:p>
      <w:pPr>
        <w:pStyle w:val="ArticleH2"/>
      </w:pPr>
      <w:r>
        <w:rPr>
          <w:rFonts w:ascii="NanumMyeongjo" w:hAnsi="NanumMyeongjo" w:eastAsia="NanumMyeongjo" w:cs="NanumMyeongjo"/>
          <w:b w:val="0"/>
          <w:i w:val="0"/>
          <w:lang w:val="ko-KR" w:eastAsia="ko-KR"/>
        </w:rPr>
        <w:t xml:space="preserve">5.3 세 가지 “단계” 표시의 구분</w:t>
      </w:r>
    </w:p>
    <w:p>
      <w:pPr>
        <w:pStyle w:val="ArticleBody"/>
        <w:jc w:val="both"/>
      </w:pPr>
      <w:r>
        <w:rPr>
          <w:rFonts w:ascii="NanumMyeongjo" w:hAnsi="NanumMyeongjo" w:eastAsia="NanumMyeongjo" w:cs="NanumMyeongjo"/>
          <w:b w:val="0"/>
          <w:i w:val="0"/>
          <w:lang w:val="ko-KR" w:eastAsia="ko-KR"/>
        </w:rPr>
        <w:t xml:space="preserve">현재 화면에는 성격이 다른 세 가지 수준 표시가 함께 나타난다. 이용자가 이를 하나의 위험등급으로 읽지 않도록, 각 표시의 산출 규칙과 지위를 아래 표와 같이 구분한다. 세 표시 중 공식 판정은 CORE 지원검토 단계 하나이며, 안전문항 양성과 긴급 신호는 세 표시 모두에 앞선다.</w:t>
      </w:r>
    </w:p>
    <w:p>
      <w:pPr>
        <w:pStyle w:val="ArticleTableLabel"/>
      </w:pPr>
      <w:r>
        <w:rPr>
          <w:rFonts w:ascii="NanumGothic" w:hAnsi="NanumGothic" w:eastAsia="NanumGothic" w:cs="NanumGothic"/>
          <w:b/>
          <w:sz w:val="18"/>
          <w:lang w:val="ko-KR" w:eastAsia="ko-KR"/>
        </w:rPr>
        <w:t xml:space="preserve">〈표 6〉  화면에 함께 표시되는 세 가지 수준</w:t>
      </w:r>
    </w:p>
    <w:tbl>
      <w:tblPr>
        <w:tblW w:type="auto" w:w="0"/>
        <w:jc w:val="center"/>
        <w:tblLayout w:type="fixed"/>
        <w:tblLook w:firstColumn="1" w:firstRow="1" w:lastColumn="0" w:lastRow="0" w:noHBand="0" w:noVBand="1" w:val="04A0"/>
      </w:tblPr>
      <w:tblGrid>
        <w:gridCol w:w="1900"/>
        <w:gridCol w:w="2000"/>
        <w:gridCol w:w="2300"/>
        <w:gridCol w:w="2871"/>
      </w:tblGrid>
      <w:tr>
        <w:trPr>
          <w:cantSplit/>
          <w:tblHeader w:val="true"/>
        </w:trPr>
        <w:tc>
          <w:tcPr>
            <w:tcW w:type="dxa" w:w="1900"/>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7"/>
                <w:lang w:val="ko-KR" w:eastAsia="ko-KR"/>
              </w:rPr>
              <w:t xml:space="preserve">표시</w:t>
            </w:r>
          </w:p>
        </w:tc>
        <w:tc>
          <w:tcPr>
            <w:tcW w:type="dxa" w:w="2000"/>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7"/>
                <w:lang w:val="ko-KR" w:eastAsia="ko-KR"/>
              </w:rPr>
              <w:t xml:space="preserve">산출 모듈</w:t>
            </w:r>
          </w:p>
        </w:tc>
        <w:tc>
          <w:tcPr>
            <w:tcW w:type="dxa" w:w="2300"/>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7"/>
                <w:lang w:val="ko-KR" w:eastAsia="ko-KR"/>
              </w:rPr>
              <w:t xml:space="preserve">범주</w:t>
            </w:r>
          </w:p>
        </w:tc>
        <w:tc>
          <w:tcPr>
            <w:tcW w:type="dxa" w:w="2871"/>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7"/>
                <w:lang w:val="ko-KR" w:eastAsia="ko-KR"/>
              </w:rPr>
              <w:t xml:space="preserve">지위와 규칙</w:t>
            </w:r>
          </w:p>
        </w:tc>
      </w:tr>
      <w:tr>
        <w:trPr>
          <w:cantSplit/>
        </w:trPr>
        <w:tc>
          <w:tcPr>
            <w:tcW w:type="dxa" w:w="19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 xml:space="preserve">CORE 지원검토 단계</w:t>
            </w:r>
          </w:p>
        </w:tc>
        <w:tc>
          <w:tcPr>
            <w:tcW w:type="dxa" w:w="20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 xml:space="preserve">criteria.js</w:t>
            </w:r>
          </w:p>
        </w:tc>
        <w:tc>
          <w:tcPr>
            <w:tcW w:type="dxa" w:w="23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 xml:space="preserve">0~3단계, 미상 시 보류</w:t>
            </w:r>
          </w:p>
        </w:tc>
        <w:tc>
          <w:tcPr>
            <w:tcW w:type="dxa" w:w="287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 xml:space="preserve">공식 판정. 지원집중 영역 수(C)와 3~4점 문항 수(H)로 결정</w:t>
            </w:r>
          </w:p>
        </w:tc>
      </w:tr>
      <w:tr>
        <w:trPr>
          <w:cantSplit/>
        </w:trPr>
        <w:tc>
          <w:tcPr>
            <w:tcW w:type="dxa" w:w="19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 xml:space="preserve">SUPPORT-5 통합지원 단계</w:t>
            </w:r>
          </w:p>
        </w:tc>
        <w:tc>
          <w:tcPr>
            <w:tcW w:type="dxa" w:w="20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 xml:space="preserve">integrated-index-v1.js</w:t>
            </w:r>
          </w:p>
        </w:tc>
        <w:tc>
          <w:tcPr>
            <w:tcW w:type="dxa" w:w="23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 xml:space="preserve">1 안정관찰 ~ 5 최우선 안전대응</w:t>
            </w:r>
          </w:p>
        </w:tc>
        <w:tc>
          <w:tcPr>
            <w:tcW w:type="dxa" w:w="287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 xml:space="preserve">개발형 보조지표. 점수 구간·응답 패턴 하한·안전 하한 중 가장 높은 값</w:t>
            </w:r>
          </w:p>
        </w:tc>
      </w:tr>
      <w:tr>
        <w:trPr>
          <w:cantSplit/>
        </w:trPr>
        <w:tc>
          <w:tcPr>
            <w:tcW w:type="dxa" w:w="1900"/>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7"/>
                <w:lang w:val="ko-KR" w:eastAsia="ko-KR"/>
              </w:rPr>
              <w:t xml:space="preserve">개입 수준</w:t>
            </w:r>
          </w:p>
        </w:tc>
        <w:tc>
          <w:tcPr>
            <w:tcW w:type="dxa" w:w="2000"/>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7"/>
                <w:lang w:val="ko-KR" w:eastAsia="ko-KR"/>
              </w:rPr>
              <w:t xml:space="preserve">oy-deep-interpretation-v1.js</w:t>
            </w:r>
          </w:p>
        </w:tc>
        <w:tc>
          <w:tcPr>
            <w:tcW w:type="dxa" w:w="2300"/>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7"/>
                <w:lang w:val="ko-KR" w:eastAsia="ko-KR"/>
              </w:rPr>
              <w:t xml:space="preserve">관찰·예방 ~ 위기개입 후 집중 사례관리(5수준)</w:t>
            </w:r>
          </w:p>
        </w:tc>
        <w:tc>
          <w:tcPr>
            <w:tcW w:type="dxa" w:w="2871"/>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7"/>
                <w:lang w:val="ko-KR" w:eastAsia="ko-KR"/>
              </w:rPr>
              <w:t xml:space="preserve">사례관리 강도 초안. CORE 단계와 안전 신호로 정하며 기관 기준 확인 필요</w:t>
            </w:r>
          </w:p>
        </w:tc>
      </w:tr>
    </w:tbl>
    <w:p>
      <w:pPr>
        <w:pStyle w:val="ArticleBody"/>
        <w:jc w:val="both"/>
      </w:pPr>
      <w:r>
        <w:rPr>
          <w:rFonts w:ascii="NanumMyeongjo" w:hAnsi="NanumMyeongjo" w:eastAsia="NanumMyeongjo" w:cs="NanumMyeongjo"/>
          <w:b w:val="0"/>
          <w:i w:val="0"/>
          <w:lang w:val="ko-KR" w:eastAsia="ko-KR"/>
        </w:rPr>
        <w:t xml:space="preserve">같은 응답에서 세 표시가 서로 다른 이름으로 나올 수 있다. 예컨대 6·9·19번이 각 3점인 가상 응답에서 CORE는 3단계(다기관 집중지원 필요성 검토), SUPPORT-5는 제4단계(고위기개입), 개입 수준은 “집중 사례관리(다기관)”로 표시되었다(운영 코드 재실행, 2026.10.26). 개정판 작성 중 확인된 불일치 하나는 해결되었다. 7번만 1점인 가상 응답에서 CORE는 안전 확인 대상(urgent)으로 분류했지만 개입 수준은 “관찰·예방”, 첫 행동은 “이번 주 안” 안전면담으로 표시되었다. 이후 안전문항이 양성이면 개입 수준을 최소 “단기 개별지원”으로 두고, 추가확인이 끝나지 않은 응답은 확인을 마칠 때까지 “집중 사례관리(다기관)”로 운영하며, 두 경우 모두 첫 행동을 “오늘 안”의 직접 확인으로 제시하도록 수정되었다(main 963f0d7, 코드 재실행으로 확인). 다만 세 표시의 이름과 경계값 전반의 정합성은 여전히 전문가 검토가 필요한 연구과제로 남긴다.</w:t>
      </w:r>
    </w:p>
    <w:p>
      <w:pPr>
        <w:pStyle w:val="ArticleH2"/>
      </w:pPr>
      <w:r>
        <w:rPr>
          <w:rFonts w:ascii="NanumMyeongjo" w:hAnsi="NanumMyeongjo" w:eastAsia="NanumMyeongjo" w:cs="NanumMyeongjo"/>
          <w:b w:val="0"/>
          <w:i w:val="0"/>
          <w:lang w:val="ko-KR" w:eastAsia="ko-KR"/>
        </w:rPr>
        <w:t xml:space="preserve">5.4 화면 구성과 이용 흐름(2026.10.26 기준)</w:t>
      </w:r>
    </w:p>
    <w:p>
      <w:pPr>
        <w:pStyle w:val="ArticleBody"/>
        <w:jc w:val="both"/>
      </w:pPr>
      <w:r>
        <w:rPr>
          <w:rFonts w:ascii="NanumMyeongjo" w:hAnsi="NanumMyeongjo" w:eastAsia="NanumMyeongjo" w:cs="NanumMyeongjo"/>
          <w:b w:val="0"/>
          <w:i w:val="0"/>
          <w:lang w:val="ko-KR" w:eastAsia="ko-KR"/>
        </w:rPr>
        <w:t xml:space="preserve">운영 화면은 다섯 단계로 이어진다. 각 단계는 같은 회차의 25문항 응답과 안전판정을 공유하며, 앞 단계로 돌아가 응답을 고치면 다시 완료해야 뒤 단계에 반영된다.</w:t>
      </w:r>
    </w:p>
    <w:p>
      <w:pPr>
        <w:pStyle w:val="ArticleTableLabel"/>
      </w:pPr>
      <w:r>
        <w:rPr>
          <w:rFonts w:ascii="NanumGothic" w:hAnsi="NanumGothic" w:eastAsia="NanumGothic" w:cs="NanumGothic"/>
          <w:b/>
          <w:sz w:val="18"/>
          <w:lang w:val="ko-KR" w:eastAsia="ko-KR"/>
        </w:rPr>
        <w:t xml:space="preserve">〈표 7〉  화면 단계별 명칭과 주요 내용</w:t>
      </w:r>
    </w:p>
    <w:tbl>
      <w:tblPr>
        <w:tblW w:type="auto" w:w="0"/>
        <w:jc w:val="center"/>
        <w:tblLayout w:type="fixed"/>
        <w:tblLook w:firstColumn="1" w:firstRow="1" w:lastColumn="0" w:lastRow="0" w:noHBand="0" w:noVBand="1" w:val="04A0"/>
      </w:tblPr>
      <w:tblGrid>
        <w:gridCol w:w="2100"/>
        <w:gridCol w:w="4300"/>
        <w:gridCol w:w="2671"/>
      </w:tblGrid>
      <w:tr>
        <w:trPr>
          <w:cantSplit/>
          <w:tblHeader w:val="true"/>
        </w:trPr>
        <w:tc>
          <w:tcPr>
            <w:tcW w:type="dxa" w:w="2100"/>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 xml:space="preserve">화면</w:t>
            </w:r>
          </w:p>
        </w:tc>
        <w:tc>
          <w:tcPr>
            <w:tcW w:type="dxa" w:w="4300"/>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 xml:space="preserve">주요 내용</w:t>
            </w:r>
          </w:p>
        </w:tc>
        <w:tc>
          <w:tcPr>
            <w:tcW w:type="dxa" w:w="2671"/>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 xml:space="preserve">주요 산출</w:t>
            </w:r>
          </w:p>
        </w:tc>
      </w:tr>
      <w:tr>
        <w:trPr>
          <w:cantSplit/>
        </w:trPr>
        <w:tc>
          <w:tcPr>
            <w:tcW w:type="dxa" w:w="21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01 선별평가·결과해석</w:t>
            </w:r>
          </w:p>
        </w:tc>
        <w:tc>
          <w:tcPr>
            <w:tcW w:type="dxa" w:w="43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25문항 입력 후 결과 탭 ① 척도 해석 ② 서술기록 분석 ③ 통합 사정의견</w:t>
            </w:r>
          </w:p>
        </w:tc>
        <w:tc>
          <w:tcPr>
            <w:tcW w:type="dxa" w:w="267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해석지·보조지표 도식·결과 PDF</w:t>
            </w:r>
          </w:p>
        </w:tc>
      </w:tr>
      <w:tr>
        <w:trPr>
          <w:cantSplit/>
        </w:trPr>
        <w:tc>
          <w:tcPr>
            <w:tcW w:type="dxa" w:w="21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02 지역자원 연계</w:t>
            </w:r>
          </w:p>
        </w:tc>
        <w:tc>
          <w:tcPr>
            <w:tcW w:type="dxa" w:w="43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지원영역별 기관·사업 후보 지도, 추천 근거·이용조건·확인 상태</w:t>
            </w:r>
          </w:p>
        </w:tc>
        <w:tc>
          <w:tcPr>
            <w:tcW w:type="dxa" w:w="267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자원 후보 목록·연결 그림</w:t>
            </w:r>
          </w:p>
        </w:tc>
      </w:tr>
      <w:tr>
        <w:trPr>
          <w:cantSplit/>
        </w:trPr>
        <w:tc>
          <w:tcPr>
            <w:tcW w:type="dxa" w:w="21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03 사례개념화·개입계획</w:t>
            </w:r>
          </w:p>
        </w:tc>
        <w:tc>
          <w:tcPr>
            <w:tcW w:type="dxa" w:w="43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사례사정·판정, 개입계획, 사례회의, 가계도·생태도</w:t>
            </w:r>
          </w:p>
        </w:tc>
        <w:tc>
          <w:tcPr>
            <w:tcW w:type="dxa" w:w="267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사정지·계획 초안</w:t>
            </w:r>
          </w:p>
        </w:tc>
      </w:tr>
      <w:tr>
        <w:trPr>
          <w:cantSplit/>
        </w:trPr>
        <w:tc>
          <w:tcPr>
            <w:tcW w:type="dxa" w:w="21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04 AI 사례자문 작업실</w:t>
            </w:r>
          </w:p>
        </w:tc>
        <w:tc>
          <w:tcPr>
            <w:tcW w:type="dxa" w:w="43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해석지 각 부분의 “AI에 묻기”로 받은 외부 AI 답변을 모아 검토</w:t>
            </w:r>
          </w:p>
        </w:tc>
        <w:tc>
          <w:tcPr>
            <w:tcW w:type="dxa" w:w="267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자문 모음(탭 안에서만 유지)</w:t>
            </w:r>
          </w:p>
        </w:tc>
      </w:tr>
      <w:tr>
        <w:trPr>
          <w:cantSplit/>
        </w:trPr>
        <w:tc>
          <w:tcPr>
            <w:tcW w:type="dxa" w:w="2100"/>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05 사례기록·모니터링</w:t>
            </w:r>
          </w:p>
        </w:tc>
        <w:tc>
          <w:tcPr>
            <w:tcW w:type="dxa" w:w="4300"/>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초기상담·회의·서비스 수행·재사정·종결 기록</w:t>
            </w:r>
          </w:p>
        </w:tc>
        <w:tc>
          <w:tcPr>
            <w:tcW w:type="dxa" w:w="2671"/>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기록 인쇄·PDF</w:t>
            </w:r>
          </w:p>
        </w:tc>
      </w:tr>
    </w:tbl>
    <w:p>
      <w:pPr>
        <w:keepNext/>
        <w:jc w:val="center"/>
      </w:pPr>
      <w:r>
        <w:drawing>
          <wp:inline xmlns:a="http://schemas.openxmlformats.org/drawingml/2006/main" xmlns:pic="http://schemas.openxmlformats.org/drawingml/2006/picture">
            <wp:extent cx="5400000" cy="1181250"/>
            <wp:docPr id="7" name="Picture 7"/>
            <wp:cNvGraphicFramePr>
              <a:graphicFrameLocks noChangeAspect="1"/>
            </wp:cNvGraphicFramePr>
            <a:graphic>
              <a:graphicData uri="http://schemas.openxmlformats.org/drawingml/2006/picture">
                <pic:pic>
                  <pic:nvPicPr>
                    <pic:cNvPr id="0" name="fig-steps.jpg"/>
                    <pic:cNvPicPr/>
                  </pic:nvPicPr>
                  <pic:blipFill>
                    <a:blip r:embed="rId17"/>
                    <a:stretch>
                      <a:fillRect/>
                    </a:stretch>
                  </pic:blipFill>
                  <pic:spPr>
                    <a:xfrm>
                      <a:off x="0" y="0"/>
                      <a:ext cx="5400000" cy="1181250"/>
                    </a:xfrm>
                    <a:prstGeom prst="rect"/>
                  </pic:spPr>
                </pic:pic>
              </a:graphicData>
            </a:graphic>
          </wp:inline>
        </w:drawing>
      </w:r>
    </w:p>
    <w:p>
      <w:pPr>
        <w:pStyle w:val="ArticleCaption"/>
      </w:pPr>
      <w:r>
        <w:rPr>
          <w:rFonts w:ascii="NanumMyeongjo" w:hAnsi="NanumMyeongjo" w:eastAsia="NanumMyeongjo" w:cs="NanumMyeongjo"/>
          <w:b w:val="0"/>
          <w:i w:val="0"/>
          <w:lang w:val="ko-KR" w:eastAsia="ko-KR"/>
        </w:rPr>
        <w:t xml:space="preserve">〈그림 4〉 운영 화면의 머리글과 다섯 단계 메뉴(가상 응답 화면)</w:t>
      </w:r>
    </w:p>
    <w:p>
      <w:pPr>
        <w:pStyle w:val="ArticleCaption"/>
      </w:pPr>
      <w:r>
        <w:rPr>
          <w:rFonts w:ascii="NanumMyeongjo" w:hAnsi="NanumMyeongjo" w:eastAsia="NanumMyeongjo" w:cs="NanumMyeongjo"/>
          <w:b w:val="0"/>
          <w:i w:val="0"/>
          <w:lang w:val="ko-KR" w:eastAsia="ko-KR"/>
        </w:rPr>
        <w:t xml:space="preserve">주. 오른쪽 위 “연구보고서”에서 본 보고서와 부속 자료를 받을 수 있다. 화면의 응답은 개발용 가상 응답이다.</w:t>
      </w:r>
    </w:p>
    <w:p>
      <w:pPr>
        <w:keepNext/>
        <w:jc w:val="center"/>
      </w:pPr>
      <w:r>
        <w:drawing>
          <wp:inline xmlns:a="http://schemas.openxmlformats.org/drawingml/2006/main" xmlns:pic="http://schemas.openxmlformats.org/drawingml/2006/picture">
            <wp:extent cx="5400000" cy="3240000"/>
            <wp:docPr id="7" name="Picture 7"/>
            <wp:cNvGraphicFramePr>
              <a:graphicFrameLocks noChangeAspect="1"/>
            </wp:cNvGraphicFramePr>
            <a:graphic>
              <a:graphicData uri="http://schemas.openxmlformats.org/drawingml/2006/picture">
                <pic:pic>
                  <pic:nvPicPr>
                    <pic:cNvPr id="0" name="fig-score.jpg"/>
                    <pic:cNvPicPr/>
                  </pic:nvPicPr>
                  <pic:blipFill>
                    <a:blip r:embed="rId18"/>
                    <a:stretch>
                      <a:fillRect/>
                    </a:stretch>
                  </pic:blipFill>
                  <pic:spPr>
                    <a:xfrm>
                      <a:off x="0" y="0"/>
                      <a:ext cx="5400000" cy="3240000"/>
                    </a:xfrm>
                    <a:prstGeom prst="rect"/>
                  </pic:spPr>
                </pic:pic>
              </a:graphicData>
            </a:graphic>
          </wp:inline>
        </w:drawing>
      </w:r>
    </w:p>
    <w:p>
      <w:pPr>
        <w:pStyle w:val="ArticleCaption"/>
      </w:pPr>
      <w:r>
        <w:rPr>
          <w:rFonts w:ascii="NanumMyeongjo" w:hAnsi="NanumMyeongjo" w:eastAsia="NanumMyeongjo" w:cs="NanumMyeongjo"/>
          <w:b w:val="0"/>
          <w:i w:val="0"/>
          <w:lang w:val="ko-KR" w:eastAsia="ko-KR"/>
        </w:rPr>
        <w:t xml:space="preserve">〈그림 5〉 ① 척도 해석 탭의 첫 화면(가상 응답: 6·9·19번 3점, 22번 2점)</w:t>
      </w:r>
    </w:p>
    <w:p>
      <w:pPr>
        <w:pStyle w:val="ArticleCaption"/>
      </w:pPr>
      <w:r>
        <w:rPr>
          <w:rFonts w:ascii="NanumMyeongjo" w:hAnsi="NanumMyeongjo" w:eastAsia="NanumMyeongjo" w:cs="NanumMyeongjo"/>
          <w:b w:val="0"/>
          <w:i w:val="0"/>
          <w:lang w:val="ko-KR" w:eastAsia="ko-KR"/>
        </w:rPr>
        <w:t xml:space="preserve">주. 상단의 통합지원 5단계는 SUPPORT-5 보조지표이며, CORE 공식 판정은 같은 화면의 아래쪽에 별도로 표시된다.</w:t>
      </w:r>
    </w:p>
    <w:p>
      <w:pPr>
        <w:pStyle w:val="ArticleH1"/>
      </w:pPr>
      <w:r>
        <w:rPr>
          <w:rFonts w:ascii="NanumMyeongjo" w:hAnsi="NanumMyeongjo" w:eastAsia="NanumMyeongjo" w:cs="NanumMyeongjo"/>
          <w:b w:val="0"/>
          <w:i w:val="0"/>
          <w:lang w:val="ko-KR" w:eastAsia="ko-KR"/>
        </w:rPr>
        <w:t>6. 문항별 해석의 전문적 구조</w:t>
      </w:r>
    </w:p>
    <w:p>
      <w:pPr>
        <w:pStyle w:val="ArticleBody"/>
        <w:jc w:val="both"/>
      </w:pPr>
      <w:r>
        <w:rPr>
          <w:rFonts w:ascii="NanumMyeongjo" w:hAnsi="NanumMyeongjo" w:eastAsia="NanumMyeongjo" w:cs="NanumMyeongjo"/>
          <w:b w:val="0"/>
          <w:i w:val="0"/>
          <w:lang w:val="ko-KR" w:eastAsia="ko-KR"/>
        </w:rPr>
        <w:t>문항별 해석은 점수의 크기를 위기확률로 환산하는 작업이 아니다. 문항이 묻는 관찰 사실·학생 생활의 기능적 영향·정보원·시점·반복 여부·보호요인과 환경을 구분하는 작업이다. 전문적 판단은 “왜 높은 점수인가”보다 “무엇을 학생에게 확인하고 어떤 지원을 제공할 것인가”의 연결성을 기준으로 검토할 필요가 있다.</w:t>
      </w:r>
    </w:p>
    <w:p>
      <w:pPr>
        <w:pStyle w:val="ArticleBody"/>
        <w:jc w:val="both"/>
      </w:pPr>
      <w:r>
        <w:rPr>
          <w:rFonts w:ascii="NanumMyeongjo" w:hAnsi="NanumMyeongjo" w:eastAsia="NanumMyeongjo" w:cs="NanumMyeongjo"/>
          <w:b w:val="0"/>
          <w:i w:val="0"/>
          <w:lang w:val="ko-KR" w:eastAsia="ko-KR"/>
        </w:rPr>
        <w:t xml:space="preserve">아래 문항별 설명은 해석 지식베이스의 내용과 맞추었다. 각 문항은 무엇을 살피는지(해설), 일상에서 어떤 모습으로 드러나는지(관찰 단서), 면담을 어떻게 시작할지(첫 질문 예)로 정리한다. 모든 문항에 공통으로, 확인할 것은 문제를 일으켰다고 추정되는 개인 특성이 아니라 실제 발생 내용, 지속성, 생활 영향, 현재 이용 가능한 지원이다.</w:t>
      </w:r>
    </w:p>
    <w:p>
      <w:pPr>
        <w:pStyle w:val="ArticleH2"/>
      </w:pPr>
      <w:r>
        <w:rPr>
          <w:rFonts w:ascii="NanumMyeongjo" w:hAnsi="NanumMyeongjo" w:eastAsia="NanumMyeongjo" w:cs="NanumMyeongjo"/>
          <w:b w:val="0"/>
          <w:i w:val="0"/>
          <w:lang w:val="ko-KR" w:eastAsia="ko-KR"/>
        </w:rPr>
        <w:t>6.1 아동학대·보호 | Q01~Q02</w:t>
      </w:r>
    </w:p>
    <w:p>
      <w:pPr>
        <w:pStyle w:val="ArticleSmall"/>
      </w:pPr>
      <w:r>
        <w:rPr>
          <w:rFonts w:ascii="NanumMyeongjo" w:hAnsi="NanumMyeongjo" w:eastAsia="NanumMyeongjo" w:cs="NanumMyeongjo"/>
          <w:b/>
          <w:i w:val="0"/>
          <w:lang w:val="ko-KR" w:eastAsia="ko-KR"/>
        </w:rPr>
        <w:t>Q01. 보호자의 신체적 폭력·정서적 위협 또는 성적 침해를 의심할 구체적 진술·상처·행동 변화가 있습니다.</w:t>
      </w:r>
    </w:p>
    <w:p>
      <w:pPr>
        <w:pStyle w:val="ArticleSmall"/>
      </w:pPr>
      <w:r>
        <w:rPr>
          <w:rFonts w:ascii="NanumMyeongjo" w:hAnsi="NanumMyeongjo" w:eastAsia="NanumMyeongjo" w:cs="NanumMyeongjo"/>
          <w:b w:val="0"/>
          <w:i w:val="0"/>
          <w:lang w:val="ko-KR" w:eastAsia="ko-KR"/>
        </w:rPr>
        <w:t xml:space="preserve">해설: 학대 의심 시 현재 안전과 신고·보호 절차 확인. 관찰 단서: 설명이 엇갈리는 상처, 하교 시간이 다가오면 불안해짐, 보호자 연락에 과하게 긴장함, 귀가를 미루는 모습. 첫 질문 예: “집에서 무서웠던 일이 있었다면, 그건 혼이 나는 정도였나요, 몸이나 마음을 다치게 하는 일이었나요?”</w:t>
      </w:r>
    </w:p>
    <w:p>
      <w:pPr>
        <w:pStyle w:val="ArticleSmall"/>
      </w:pPr>
      <w:r>
        <w:rPr>
          <w:rFonts w:ascii="NanumMyeongjo" w:hAnsi="NanumMyeongjo" w:eastAsia="NanumMyeongjo" w:cs="NanumMyeongjo"/>
          <w:b w:val="0"/>
          <w:i w:val="0"/>
          <w:lang w:val="ko-KR" w:eastAsia="ko-KR"/>
        </w:rPr>
        <w:t>분기: 점수 1~4는 핵심 안전 확인 대상입니다. 해당 사실의 시점·현재 안전·적절한 신고·보호 절차를 별도 확인합니다.</w:t>
      </w:r>
    </w:p>
    <w:p>
      <w:pPr>
        <w:pStyle w:val="ArticleSmall"/>
      </w:pPr>
      <w:r>
        <w:rPr>
          <w:rFonts w:ascii="NanumMyeongjo" w:hAnsi="NanumMyeongjo" w:eastAsia="NanumMyeongjo" w:cs="NanumMyeongjo"/>
          <w:b/>
          <w:i w:val="0"/>
          <w:lang w:val="ko-KR" w:eastAsia="ko-KR"/>
        </w:rPr>
        <w:t>Q02. 필요한 보호·의료·위생을 지속적으로 제공하지 않는 방임이 의심됩니다.</w:t>
      </w:r>
    </w:p>
    <w:p>
      <w:pPr>
        <w:pStyle w:val="ArticleSmall"/>
      </w:pPr>
      <w:r>
        <w:rPr>
          <w:rFonts w:ascii="NanumMyeongjo" w:hAnsi="NanumMyeongjo" w:eastAsia="NanumMyeongjo" w:cs="NanumMyeongjo"/>
          <w:b w:val="0"/>
          <w:i w:val="0"/>
          <w:lang w:val="ko-KR" w:eastAsia="ko-KR"/>
        </w:rPr>
        <w:t xml:space="preserve">해설: 빈곤 자체와 방임 의심을 구분해 돌봄 실태 확인. 관찰 단서: 계절에 맞지 않는 옷, 치료받지 못한 질환, 반복되는 결식, 준비물·위생 상태의 지속적인 결핍. 첫 질문 예: “아프거나 필요한 게 있을 때, 집에서 챙겨 줄 사람이 있는데 여유가 없는 건가요, 아예 챙겨 줄 사람이 없는 건가요?”</w:t>
      </w:r>
    </w:p>
    <w:p>
      <w:pPr>
        <w:pStyle w:val="ArticleSmall"/>
      </w:pPr>
      <w:r>
        <w:rPr>
          <w:rFonts w:ascii="NanumMyeongjo" w:hAnsi="NanumMyeongjo" w:eastAsia="NanumMyeongjo" w:cs="NanumMyeongjo"/>
          <w:b w:val="0"/>
          <w:i w:val="0"/>
          <w:lang w:val="ko-KR" w:eastAsia="ko-KR"/>
        </w:rPr>
        <w:t>분기: 점수 1~4는 핵심 안전 확인 대상입니다. 해당 사실의 시점·현재 안전·적절한 신고·보호 절차를 별도 확인합니다.</w:t>
      </w:r>
    </w:p>
    <w:p>
      <w:pPr>
        <w:pStyle w:val="ArticleSmall"/>
      </w:pPr>
      <w:r>
        <w:rPr>
          <w:rFonts w:ascii="NanumMyeongjo" w:hAnsi="NanumMyeongjo" w:eastAsia="NanumMyeongjo" w:cs="NanumMyeongjo"/>
          <w:b w:val="0"/>
          <w:i w:val="0"/>
          <w:lang w:val="ko-KR" w:eastAsia="ko-KR"/>
        </w:rPr>
        <w:t>주의: 빈곤·진단·가족 형태 등 속성을 위험의 원인으로 단정하지 말고 생활기능과 환경 장벽에 대한 구체적 근거를 기록합니다.</w:t>
      </w:r>
    </w:p>
    <w:p>
      <w:pPr>
        <w:pStyle w:val="ArticleH2"/>
      </w:pPr>
      <w:r>
        <w:rPr>
          <w:rFonts w:ascii="NanumMyeongjo" w:hAnsi="NanumMyeongjo" w:eastAsia="NanumMyeongjo" w:cs="NanumMyeongjo"/>
          <w:b w:val="0"/>
          <w:i w:val="0"/>
          <w:lang w:val="ko-KR" w:eastAsia="ko-KR"/>
        </w:rPr>
        <w:t>6.2 학교폭력·또래 안전 | Q03~Q05</w:t>
      </w:r>
    </w:p>
    <w:p>
      <w:pPr>
        <w:pStyle w:val="ArticleSmall"/>
      </w:pPr>
      <w:r>
        <w:rPr>
          <w:rFonts w:ascii="NanumMyeongjo" w:hAnsi="NanumMyeongjo" w:eastAsia="NanumMyeongjo" w:cs="NanumMyeongjo"/>
          <w:b/>
          <w:i w:val="0"/>
          <w:lang w:val="ko-KR" w:eastAsia="ko-KR"/>
        </w:rPr>
        <w:t>Q03. 따돌림·욕설·폭행·사이버 괴롭힘 등 또래의 괴롭힘 피해 정황이 있습니다.</w:t>
      </w:r>
    </w:p>
    <w:p>
      <w:pPr>
        <w:pStyle w:val="ArticleSmall"/>
      </w:pPr>
      <w:r>
        <w:rPr>
          <w:rFonts w:ascii="NanumMyeongjo" w:hAnsi="NanumMyeongjo" w:eastAsia="NanumMyeongjo" w:cs="NanumMyeongjo"/>
          <w:b w:val="0"/>
          <w:i w:val="0"/>
          <w:lang w:val="ko-KR" w:eastAsia="ko-KR"/>
        </w:rPr>
        <w:t xml:space="preserve">해설: 실제 피해와 학교생활 영향을 구분 확인. 관찰 단서: 쉬는 시간에 혼자 있음, 특정 친구를 피함, 단체 채팅방 이후 표정 변화, 소지품 훼손. 첫 질문 예: “요즘 친구 문제는 서로 다툰 쪽에 가까운가요, 한쪽에서 계속 당하는 쪽에 가까운가요?”</w:t>
      </w:r>
    </w:p>
    <w:p>
      <w:pPr>
        <w:pStyle w:val="ArticleSmall"/>
      </w:pPr>
      <w:r>
        <w:rPr>
          <w:rFonts w:ascii="NanumMyeongjo" w:hAnsi="NanumMyeongjo" w:eastAsia="NanumMyeongjo" w:cs="NanumMyeongjo"/>
          <w:b/>
          <w:i w:val="0"/>
          <w:lang w:val="ko-KR" w:eastAsia="ko-KR"/>
        </w:rPr>
        <w:t>Q04. 금품 요구·협박·성적 괴롭힘 등 강요·착취 피해 정황이 있습니다.</w:t>
      </w:r>
    </w:p>
    <w:p>
      <w:pPr>
        <w:pStyle w:val="ArticleSmall"/>
      </w:pPr>
      <w:r>
        <w:rPr>
          <w:rFonts w:ascii="NanumMyeongjo" w:hAnsi="NanumMyeongjo" w:eastAsia="NanumMyeongjo" w:cs="NanumMyeongjo"/>
          <w:b w:val="0"/>
          <w:i w:val="0"/>
          <w:lang w:val="ko-KR" w:eastAsia="ko-KR"/>
        </w:rPr>
        <w:t xml:space="preserve">해설: 협박·강요의 지속 여부, 현재 보호 필요 확인. 관찰 단서: 용돈·물건이 자주 없어짐, 특정 학생 연락에 즉시 반응함, 이유를 말하지 않는 돈 요구. 첫 질문 예: “친구에게 해 준 일이 내가 원해서 한 건가요, 안 하면 무슨 일이 생길까 봐 한 건가요?”</w:t>
      </w:r>
    </w:p>
    <w:p>
      <w:pPr>
        <w:pStyle w:val="ArticleSmall"/>
      </w:pPr>
      <w:r>
        <w:rPr>
          <w:rFonts w:ascii="NanumMyeongjo" w:hAnsi="NanumMyeongjo" w:eastAsia="NanumMyeongjo" w:cs="NanumMyeongjo"/>
          <w:b w:val="0"/>
          <w:i w:val="0"/>
          <w:lang w:val="ko-KR" w:eastAsia="ko-KR"/>
        </w:rPr>
        <w:t>분기: 조건부 추가질문의 발동점수를 확인합니다. 현재 위해 미확인은 “안전함”으로 단정하지 않습니다.</w:t>
      </w:r>
    </w:p>
    <w:p>
      <w:pPr>
        <w:pStyle w:val="ArticleSmall"/>
      </w:pPr>
      <w:r>
        <w:rPr>
          <w:rFonts w:ascii="NanumMyeongjo" w:hAnsi="NanumMyeongjo" w:eastAsia="NanumMyeongjo" w:cs="NanumMyeongjo"/>
          <w:b/>
          <w:i w:val="0"/>
          <w:lang w:val="ko-KR" w:eastAsia="ko-KR"/>
        </w:rPr>
        <w:t>Q05. 다른 학생에게 위협·폭력·괴롭힘을 가하여 타인의 안전을 해친 구체적 행동이 있습니다.</w:t>
      </w:r>
    </w:p>
    <w:p>
      <w:pPr>
        <w:pStyle w:val="ArticleSmall"/>
      </w:pPr>
      <w:r>
        <w:rPr>
          <w:rFonts w:ascii="NanumMyeongjo" w:hAnsi="NanumMyeongjo" w:eastAsia="NanumMyeongjo" w:cs="NanumMyeongjo"/>
          <w:b w:val="0"/>
          <w:i w:val="0"/>
          <w:lang w:val="ko-KR" w:eastAsia="ko-KR"/>
        </w:rPr>
        <w:t xml:space="preserve">해설: 관련 학생 안전과 사실관계 확인. 관찰 단서: 특정 상황(놀림·좌절·지시)에서 급격히 격해짐, 같은 대상에게 반복, 행동 후 설명이 짧음. 첫 질문 예: “화가 났을 때 그렇게 한 건가요, 그 친구에게 무언가를 얻거나 보여 주려고 한 건가요?”</w:t>
      </w:r>
    </w:p>
    <w:p>
      <w:pPr>
        <w:pStyle w:val="ArticleSmall"/>
      </w:pPr>
      <w:r>
        <w:rPr>
          <w:rFonts w:ascii="NanumMyeongjo" w:hAnsi="NanumMyeongjo" w:eastAsia="NanumMyeongjo" w:cs="NanumMyeongjo"/>
          <w:b w:val="0"/>
          <w:i w:val="0"/>
          <w:lang w:val="ko-KR" w:eastAsia="ko-KR"/>
        </w:rPr>
        <w:t>분기: 조건부 추가질문의 발동점수를 확인합니다. 현재 위해 미확인은 “안전함”으로 단정하지 않습니다.</w:t>
      </w:r>
    </w:p>
    <w:p>
      <w:pPr>
        <w:pStyle w:val="ArticleH2"/>
      </w:pPr>
      <w:r>
        <w:rPr>
          <w:rFonts w:ascii="NanumMyeongjo" w:hAnsi="NanumMyeongjo" w:eastAsia="NanumMyeongjo" w:cs="NanumMyeongjo"/>
          <w:b w:val="0"/>
          <w:i w:val="0"/>
          <w:lang w:val="ko-KR" w:eastAsia="ko-KR"/>
        </w:rPr>
        <w:t>6.3 자해·정서·정신건강 | Q06~Q08</w:t>
      </w:r>
    </w:p>
    <w:p>
      <w:pPr>
        <w:pStyle w:val="ArticleSmall"/>
      </w:pPr>
      <w:r>
        <w:rPr>
          <w:rFonts w:ascii="NanumMyeongjo" w:hAnsi="NanumMyeongjo" w:eastAsia="NanumMyeongjo" w:cs="NanumMyeongjo"/>
          <w:b/>
          <w:i w:val="0"/>
          <w:lang w:val="ko-KR" w:eastAsia="ko-KR"/>
        </w:rPr>
        <w:t>Q06. 우울·불안·무기력 등 정서적 고통 때문에 일상 활동에 어려움이 있습니다.</w:t>
      </w:r>
    </w:p>
    <w:p>
      <w:pPr>
        <w:pStyle w:val="ArticleSmall"/>
      </w:pPr>
      <w:r>
        <w:rPr>
          <w:rFonts w:ascii="NanumMyeongjo" w:hAnsi="NanumMyeongjo" w:eastAsia="NanumMyeongjo" w:cs="NanumMyeongjo"/>
          <w:b w:val="0"/>
          <w:i w:val="0"/>
          <w:lang w:val="ko-KR" w:eastAsia="ko-KR"/>
        </w:rPr>
        <w:t xml:space="preserve">해설: 정서적 고통의 지속 기간과 기능 영향 확인. 관찰 단서: 수업 중 엎드려 있음, 표정 변화가 적음, 좋아하던 활동을 그만둠, 사소한 일에 눈물·짜증. 첫 질문 예: “요즘 힘든 마음은 슬프고 가라앉는 쪽에 가까운가요, 불안하고 초조한 쪽에 가까운가요, 아무것도 하기 싫은 쪽에 가까운가요?”</w:t>
      </w:r>
    </w:p>
    <w:p>
      <w:pPr>
        <w:pStyle w:val="ArticleSmall"/>
      </w:pPr>
      <w:r>
        <w:rPr>
          <w:rFonts w:ascii="NanumMyeongjo" w:hAnsi="NanumMyeongjo" w:eastAsia="NanumMyeongjo" w:cs="NanumMyeongjo"/>
          <w:b/>
          <w:i w:val="0"/>
          <w:lang w:val="ko-KR" w:eastAsia="ko-KR"/>
        </w:rPr>
        <w:t>Q07. 자해 흔적·자해 진술·죽고 싶다는 표현 등 안전확인이 필요한 신호가 있습니다.</w:t>
      </w:r>
    </w:p>
    <w:p>
      <w:pPr>
        <w:pStyle w:val="ArticleSmall"/>
      </w:pPr>
      <w:r>
        <w:rPr>
          <w:rFonts w:ascii="NanumMyeongjo" w:hAnsi="NanumMyeongjo" w:eastAsia="NanumMyeongjo" w:cs="NanumMyeongjo"/>
          <w:b w:val="0"/>
          <w:i w:val="0"/>
          <w:lang w:val="ko-KR" w:eastAsia="ko-KR"/>
        </w:rPr>
        <w:t xml:space="preserve">해설: 현재 자해·자살 관련 안전상황 직접 확인. 관찰 단서: 긴 소매를 고집함, 물건을 정리하거나 나눠 줌, SNS에 이별·사라짐 관련 글, "없어지고 싶다"는 말. 첫 질문 예: “요즘 너무 힘들어서 사라지고 싶다거나 스스로를 해치고 싶은 생각이 든 적이 있나요? 있다면 지금도 그런가요?”</w:t>
      </w:r>
    </w:p>
    <w:p>
      <w:pPr>
        <w:pStyle w:val="ArticleSmall"/>
      </w:pPr>
      <w:r>
        <w:rPr>
          <w:rFonts w:ascii="NanumMyeongjo" w:hAnsi="NanumMyeongjo" w:eastAsia="NanumMyeongjo" w:cs="NanumMyeongjo"/>
          <w:b w:val="0"/>
          <w:i w:val="0"/>
          <w:lang w:val="ko-KR" w:eastAsia="ko-KR"/>
        </w:rPr>
        <w:t>분기: 점수 1~4는 핵심 안전 확인 대상입니다. 해당 사실의 시점·현재 안전·적절한 신고·보호 절차를 별도 확인합니다.</w:t>
      </w:r>
    </w:p>
    <w:p>
      <w:pPr>
        <w:pStyle w:val="ArticleSmall"/>
      </w:pPr>
      <w:r>
        <w:rPr>
          <w:rFonts w:ascii="NanumMyeongjo" w:hAnsi="NanumMyeongjo" w:eastAsia="NanumMyeongjo" w:cs="NanumMyeongjo"/>
          <w:b/>
          <w:i w:val="0"/>
          <w:lang w:val="ko-KR" w:eastAsia="ko-KR"/>
        </w:rPr>
        <w:t>Q08. 갑작스러운 심한 불안 반응·현저한 수면 변화·혼란 등의 구체적 변화로 일상 기능이 저하됩니다.</w:t>
      </w:r>
    </w:p>
    <w:p>
      <w:pPr>
        <w:pStyle w:val="ArticleSmall"/>
      </w:pPr>
      <w:r>
        <w:rPr>
          <w:rFonts w:ascii="NanumMyeongjo" w:hAnsi="NanumMyeongjo" w:eastAsia="NanumMyeongjo" w:cs="NanumMyeongjo"/>
          <w:b w:val="0"/>
          <w:i w:val="0"/>
          <w:lang w:val="ko-KR" w:eastAsia="ko-KR"/>
        </w:rPr>
        <w:t xml:space="preserve">해설: 심한 변화·건강 문제에 전문평가 검토. 관찰 단서: 지각·조퇴 증가, 수업 중 졸음, 갑자기 말이 많아지거나 혼란스러운 말, 이유 없는 공포. 첫 질문 예: “잠을 못 자는 건 걱정이 많아서인가요, 밤에 해야 할 일이 있어서인가요, 휴대폰을 하다 보니 그런가요?”</w:t>
      </w:r>
    </w:p>
    <w:p>
      <w:pPr>
        <w:pStyle w:val="ArticleH2"/>
      </w:pPr>
      <w:r>
        <w:rPr>
          <w:rFonts w:ascii="NanumMyeongjo" w:hAnsi="NanumMyeongjo" w:eastAsia="NanumMyeongjo" w:cs="NanumMyeongjo"/>
          <w:b w:val="0"/>
          <w:i w:val="0"/>
          <w:lang w:val="ko-KR" w:eastAsia="ko-KR"/>
        </w:rPr>
        <w:t>6.4 학습·출결 | Q09~Q11</w:t>
      </w:r>
    </w:p>
    <w:p>
      <w:pPr>
        <w:pStyle w:val="ArticleSmall"/>
      </w:pPr>
      <w:r>
        <w:rPr>
          <w:rFonts w:ascii="NanumMyeongjo" w:hAnsi="NanumMyeongjo" w:eastAsia="NanumMyeongjo" w:cs="NanumMyeongjo"/>
          <w:b/>
          <w:i w:val="0"/>
          <w:lang w:val="ko-KR" w:eastAsia="ko-KR"/>
        </w:rPr>
        <w:t>Q09. 지각·조퇴·결석 또는 등교 회피로 수업 참여가 줄었습니다.</w:t>
      </w:r>
    </w:p>
    <w:p>
      <w:pPr>
        <w:pStyle w:val="ArticleSmall"/>
      </w:pPr>
      <w:r>
        <w:rPr>
          <w:rFonts w:ascii="NanumMyeongjo" w:hAnsi="NanumMyeongjo" w:eastAsia="NanumMyeongjo" w:cs="NanumMyeongjo"/>
          <w:b w:val="0"/>
          <w:i w:val="0"/>
          <w:lang w:val="ko-KR" w:eastAsia="ko-KR"/>
        </w:rPr>
        <w:t xml:space="preserve">해설: 출결 변화의 이유를 학생 관점에서 확인. 관찰 단서: 특정 요일·시간대에 몰린 결석, 1교시 지각, 점심 이후 조퇴, 연락이 닿지 않는 결석. 첫 질문 예: “학교에 오기 어려운 날은 아침에 집에서 할 일이 있어서인가요, 몸이 힘들어서인가요, 학교에 와도 마음이 안 붙어서인가요?”</w:t>
      </w:r>
    </w:p>
    <w:p>
      <w:pPr>
        <w:pStyle w:val="ArticleSmall"/>
      </w:pPr>
      <w:r>
        <w:rPr>
          <w:rFonts w:ascii="NanumMyeongjo" w:hAnsi="NanumMyeongjo" w:eastAsia="NanumMyeongjo" w:cs="NanumMyeongjo"/>
          <w:b/>
          <w:i w:val="0"/>
          <w:lang w:val="ko-KR" w:eastAsia="ko-KR"/>
        </w:rPr>
        <w:t>Q10. 수업 이해·기초학습·과제 수행에 지원이 필요한 어려움이 있습니다.</w:t>
      </w:r>
    </w:p>
    <w:p>
      <w:pPr>
        <w:pStyle w:val="ArticleSmall"/>
      </w:pPr>
      <w:r>
        <w:rPr>
          <w:rFonts w:ascii="NanumMyeongjo" w:hAnsi="NanumMyeongjo" w:eastAsia="NanumMyeongjo" w:cs="NanumMyeongjo"/>
          <w:b w:val="0"/>
          <w:i w:val="0"/>
          <w:lang w:val="ko-KR" w:eastAsia="ko-KR"/>
        </w:rPr>
        <w:t xml:space="preserve">해설: 학습 참여 장벽과 지원 경험 확인. 관찰 단서: 과제 미제출, 수업 중 다른 행동, 시험 백지, "어차피 몰라요"라는 말. 첫 질문 예: “공부가 어려운 건 내용이 이해가 안 돼서인가요, 빠진 수업이 많아서인가요, 공부할 시간이나 공간이 없어서인가요?”</w:t>
      </w:r>
    </w:p>
    <w:p>
      <w:pPr>
        <w:pStyle w:val="ArticleSmall"/>
      </w:pPr>
      <w:r>
        <w:rPr>
          <w:rFonts w:ascii="NanumMyeongjo" w:hAnsi="NanumMyeongjo" w:eastAsia="NanumMyeongjo" w:cs="NanumMyeongjo"/>
          <w:b/>
          <w:i w:val="0"/>
          <w:lang w:val="ko-KR" w:eastAsia="ko-KR"/>
        </w:rPr>
        <w:t>Q11. 학업을 지속하기 어렵다는 표현이나 학교 소속감의 저하가 확인됩니다.</w:t>
      </w:r>
    </w:p>
    <w:p>
      <w:pPr>
        <w:pStyle w:val="ArticleSmall"/>
      </w:pPr>
      <w:r>
        <w:rPr>
          <w:rFonts w:ascii="NanumMyeongjo" w:hAnsi="NanumMyeongjo" w:eastAsia="NanumMyeongjo" w:cs="NanumMyeongjo"/>
          <w:b w:val="0"/>
          <w:i w:val="0"/>
          <w:lang w:val="ko-KR" w:eastAsia="ko-KR"/>
        </w:rPr>
        <w:t xml:space="preserve">해설: 학교 소속감·학업 지속 희망 확인. 관찰 단서: "학교 다녀서 뭐 해요", 진로 질문에 무관심, 동아리·행사 불참, 자퇴 언급. 첫 질문 예: “학교가 싫은 건 사람 때문인가요, 공부 때문인가요, 학교에 다니는 의미를 못 느껴서인가요?”</w:t>
      </w:r>
    </w:p>
    <w:p>
      <w:pPr>
        <w:pStyle w:val="ArticleH2"/>
      </w:pPr>
      <w:r>
        <w:rPr>
          <w:rFonts w:ascii="NanumMyeongjo" w:hAnsi="NanumMyeongjo" w:eastAsia="NanumMyeongjo" w:cs="NanumMyeongjo"/>
          <w:b w:val="0"/>
          <w:i w:val="0"/>
          <w:lang w:val="ko-KR" w:eastAsia="ko-KR"/>
        </w:rPr>
        <w:t>6.5 행동·건강 안전 | Q12~Q13</w:t>
      </w:r>
    </w:p>
    <w:p>
      <w:pPr>
        <w:pStyle w:val="ArticleSmall"/>
      </w:pPr>
      <w:r>
        <w:rPr>
          <w:rFonts w:ascii="NanumMyeongjo" w:hAnsi="NanumMyeongjo" w:eastAsia="NanumMyeongjo" w:cs="NanumMyeongjo"/>
          <w:b/>
          <w:i w:val="0"/>
          <w:lang w:val="ko-KR" w:eastAsia="ko-KR"/>
        </w:rPr>
        <w:t>Q12. 물건 파손·충동적인 위험 행동으로 자신 또는 주변의 안전을 해치는 일이 있습니다.</w:t>
      </w:r>
    </w:p>
    <w:p>
      <w:pPr>
        <w:pStyle w:val="ArticleSmall"/>
      </w:pPr>
      <w:r>
        <w:rPr>
          <w:rFonts w:ascii="NanumMyeongjo" w:hAnsi="NanumMyeongjo" w:eastAsia="NanumMyeongjo" w:cs="NanumMyeongjo"/>
          <w:b w:val="0"/>
          <w:i w:val="0"/>
          <w:lang w:val="ko-KR" w:eastAsia="ko-KR"/>
        </w:rPr>
        <w:t xml:space="preserve">해설: 행동 전후 맥락과 즉각적 위해 여부 확인. 관찰 단서: 벽·책상 치기, 위험한 장난, 자전거·킥보드 과속, 화난 뒤 기억이 흐림. 첫 질문 예: “그런 행동을 할 때는 화가 너무 나서인가요, 답답한 걸 풀고 싶어서인가요, 재미나 스릴 때문인가요?”</w:t>
      </w:r>
    </w:p>
    <w:p>
      <w:pPr>
        <w:pStyle w:val="ArticleSmall"/>
      </w:pPr>
      <w:r>
        <w:rPr>
          <w:rFonts w:ascii="NanumMyeongjo" w:hAnsi="NanumMyeongjo" w:eastAsia="NanumMyeongjo" w:cs="NanumMyeongjo"/>
          <w:b w:val="0"/>
          <w:i w:val="0"/>
          <w:lang w:val="ko-KR" w:eastAsia="ko-KR"/>
        </w:rPr>
        <w:t>분기: 조건부 추가질문의 발동점수를 확인합니다. 현재 위해 미확인은 “안전함”으로 단정하지 않습니다.</w:t>
      </w:r>
    </w:p>
    <w:p>
      <w:pPr>
        <w:pStyle w:val="ArticleSmall"/>
      </w:pPr>
      <w:r>
        <w:rPr>
          <w:rFonts w:ascii="NanumMyeongjo" w:hAnsi="NanumMyeongjo" w:eastAsia="NanumMyeongjo" w:cs="NanumMyeongjo"/>
          <w:b/>
          <w:i w:val="0"/>
          <w:lang w:val="ko-KR" w:eastAsia="ko-KR"/>
        </w:rPr>
        <w:t>Q13. 음주·흡연·약물 오용·위험한 외출 등 건강과 안전을 해치는 행동이 있습니다.</w:t>
      </w:r>
    </w:p>
    <w:p>
      <w:pPr>
        <w:pStyle w:val="ArticleSmall"/>
      </w:pPr>
      <w:r>
        <w:rPr>
          <w:rFonts w:ascii="NanumMyeongjo" w:hAnsi="NanumMyeongjo" w:eastAsia="NanumMyeongjo" w:cs="NanumMyeongjo"/>
          <w:b w:val="0"/>
          <w:i w:val="0"/>
          <w:lang w:val="ko-KR" w:eastAsia="ko-KR"/>
        </w:rPr>
        <w:t xml:space="preserve">해설: 현재 신체·의식 변화 등 응급 필요 확인. 관찰 단서: 냄새, 늦은 귀가, 용돈 사용처가 불분명함, 연상 집단과의 어울림. 첫 질문 예: “그걸 하게 되는 건 친구들과 어울리려고인가요, 힘든 마음을 잊고 싶어서인가요, 습관이 되어서인가요?”</w:t>
      </w:r>
    </w:p>
    <w:p>
      <w:pPr>
        <w:pStyle w:val="ArticleSmall"/>
      </w:pPr>
      <w:r>
        <w:rPr>
          <w:rFonts w:ascii="NanumMyeongjo" w:hAnsi="NanumMyeongjo" w:eastAsia="NanumMyeongjo" w:cs="NanumMyeongjo"/>
          <w:b w:val="0"/>
          <w:i w:val="0"/>
          <w:lang w:val="ko-KR" w:eastAsia="ko-KR"/>
        </w:rPr>
        <w:t>분기: 조건부 추가질문의 발동점수를 확인합니다. 현재 위해 미확인은 “안전함”으로 단정하지 않습니다.</w:t>
      </w:r>
    </w:p>
    <w:p>
      <w:pPr>
        <w:pStyle w:val="ArticleH2"/>
      </w:pPr>
      <w:r>
        <w:rPr>
          <w:rFonts w:ascii="NanumMyeongjo" w:hAnsi="NanumMyeongjo" w:eastAsia="NanumMyeongjo" w:cs="NanumMyeongjo"/>
          <w:b w:val="0"/>
          <w:i w:val="0"/>
          <w:lang w:val="ko-KR" w:eastAsia="ko-KR"/>
        </w:rPr>
        <w:t>6.6 장애·발달 및 접근성 | Q14~Q15</w:t>
      </w:r>
    </w:p>
    <w:p>
      <w:pPr>
        <w:pStyle w:val="ArticleSmall"/>
      </w:pPr>
      <w:r>
        <w:rPr>
          <w:rFonts w:ascii="NanumMyeongjo" w:hAnsi="NanumMyeongjo" w:eastAsia="NanumMyeongjo" w:cs="NanumMyeongjo"/>
          <w:b/>
          <w:i w:val="0"/>
          <w:lang w:val="ko-KR" w:eastAsia="ko-KR"/>
        </w:rPr>
        <w:t>Q14. 의사소통·감각·주의·인지 특성에 맞는 교육환경 조정이 부족하여 참여가 제한됩니다.</w:t>
      </w:r>
    </w:p>
    <w:p>
      <w:pPr>
        <w:pStyle w:val="ArticleSmall"/>
      </w:pPr>
      <w:r>
        <w:rPr>
          <w:rFonts w:ascii="NanumMyeongjo" w:hAnsi="NanumMyeongjo" w:eastAsia="NanumMyeongjo" w:cs="NanumMyeongjo"/>
          <w:b w:val="0"/>
          <w:i w:val="0"/>
          <w:lang w:val="ko-KR" w:eastAsia="ko-KR"/>
        </w:rPr>
        <w:t xml:space="preserve">해설: 학생 특성에 맞는 환경 조정·접근성 확인. 관찰 단서: 지시를 놓침, 시끄러운 환경에서 급격히 지침, 긴 설명 뒤 멍해짐, 판서 따라가기 어려움. 첫 질문 예: “수업이 힘든 건 설명이 빨라서인가요, 교실 환경(소리·자리)이 힘들어서인가요, 내용을 이해하기 어려워서인가요?”</w:t>
      </w:r>
    </w:p>
    <w:p>
      <w:pPr>
        <w:pStyle w:val="ArticleSmall"/>
      </w:pPr>
      <w:r>
        <w:rPr>
          <w:rFonts w:ascii="NanumMyeongjo" w:hAnsi="NanumMyeongjo" w:eastAsia="NanumMyeongjo" w:cs="NanumMyeongjo"/>
          <w:b w:val="0"/>
          <w:i w:val="0"/>
          <w:lang w:val="ko-KR" w:eastAsia="ko-KR"/>
        </w:rPr>
        <w:t>주의: 빈곤·진단·가족 형태 등 속성을 위험의 원인으로 단정하지 말고 생활기능과 환경 장벽에 대한 구체적 근거를 기록합니다.</w:t>
      </w:r>
    </w:p>
    <w:p>
      <w:pPr>
        <w:pStyle w:val="ArticleSmall"/>
      </w:pPr>
      <w:r>
        <w:rPr>
          <w:rFonts w:ascii="NanumMyeongjo" w:hAnsi="NanumMyeongjo" w:eastAsia="NanumMyeongjo" w:cs="NanumMyeongjo"/>
          <w:b/>
          <w:i w:val="0"/>
          <w:lang w:val="ko-KR" w:eastAsia="ko-KR"/>
        </w:rPr>
        <w:t>Q15. 필요한 편의·보조공학·발달 또는 돌봄 서비스를 받지 못해 활동이 제한됩니다.</w:t>
      </w:r>
    </w:p>
    <w:p>
      <w:pPr>
        <w:pStyle w:val="ArticleSmall"/>
      </w:pPr>
      <w:r>
        <w:rPr>
          <w:rFonts w:ascii="NanumMyeongjo" w:hAnsi="NanumMyeongjo" w:eastAsia="NanumMyeongjo" w:cs="NanumMyeongjo"/>
          <w:b w:val="0"/>
          <w:i w:val="0"/>
          <w:lang w:val="ko-KR" w:eastAsia="ko-KR"/>
        </w:rPr>
        <w:t xml:space="preserve">해설: 실제 필요한 편의·지원의 공백 확인. 관찰 단서: 보조기기 고장 방치, 치료 중단, 서비스 신청 방법을 모름, 대기 중. 첫 질문 예: “필요한 지원을 못 받는 건 신청 방법을 몰라서인가요, 대기가 길어서인가요, 데려다줄 사람이 없어서인가요?”</w:t>
      </w:r>
    </w:p>
    <w:p>
      <w:pPr>
        <w:pStyle w:val="ArticleSmall"/>
      </w:pPr>
      <w:r>
        <w:rPr>
          <w:rFonts w:ascii="NanumMyeongjo" w:hAnsi="NanumMyeongjo" w:eastAsia="NanumMyeongjo" w:cs="NanumMyeongjo"/>
          <w:b w:val="0"/>
          <w:i w:val="0"/>
          <w:lang w:val="ko-KR" w:eastAsia="ko-KR"/>
        </w:rPr>
        <w:t>주의: 빈곤·진단·가족 형태 등 속성을 위험의 원인으로 단정하지 말고 생활기능과 환경 장벽에 대한 구체적 근거를 기록합니다.</w:t>
      </w:r>
    </w:p>
    <w:p>
      <w:pPr>
        <w:pStyle w:val="ArticleH2"/>
      </w:pPr>
      <w:r>
        <w:rPr>
          <w:rFonts w:ascii="NanumMyeongjo" w:hAnsi="NanumMyeongjo" w:eastAsia="NanumMyeongjo" w:cs="NanumMyeongjo"/>
          <w:b w:val="0"/>
          <w:i w:val="0"/>
          <w:lang w:val="ko-KR" w:eastAsia="ko-KR"/>
        </w:rPr>
        <w:t>6.7 가족·돌봄 | Q16~Q18</w:t>
      </w:r>
    </w:p>
    <w:p>
      <w:pPr>
        <w:pStyle w:val="ArticleSmall"/>
      </w:pPr>
      <w:r>
        <w:rPr>
          <w:rFonts w:ascii="NanumMyeongjo" w:hAnsi="NanumMyeongjo" w:eastAsia="NanumMyeongjo" w:cs="NanumMyeongjo"/>
          <w:b/>
          <w:i w:val="0"/>
          <w:lang w:val="ko-KR" w:eastAsia="ko-KR"/>
        </w:rPr>
        <w:t>Q16. 보호자 부재·질병·여력 부족으로 식사·생활관리·돌봄 공백이 생깁니다.</w:t>
      </w:r>
    </w:p>
    <w:p>
      <w:pPr>
        <w:pStyle w:val="ArticleSmall"/>
      </w:pPr>
      <w:r>
        <w:rPr>
          <w:rFonts w:ascii="NanumMyeongjo" w:hAnsi="NanumMyeongjo" w:eastAsia="NanumMyeongjo" w:cs="NanumMyeongjo"/>
          <w:b w:val="0"/>
          <w:i w:val="0"/>
          <w:lang w:val="ko-KR" w:eastAsia="ko-KR"/>
        </w:rPr>
        <w:t xml:space="preserve">해설: 식사·생활관리·돌봄 공백 시간 확인. 관찰 단서: 아침 결식, 방과 후 혼자 있는 시간이 김, 늦은 밤까지 보호자 부재, 편의점 식사. 첫 질문 예: “집에 어른이 없는 시간은 일 때문에 바빠서인가요, 아프셔서인가요, 함께 살지 않아서인가요?”</w:t>
      </w:r>
    </w:p>
    <w:p>
      <w:pPr>
        <w:pStyle w:val="ArticleSmall"/>
      </w:pPr>
      <w:r>
        <w:rPr>
          <w:rFonts w:ascii="NanumMyeongjo" w:hAnsi="NanumMyeongjo" w:eastAsia="NanumMyeongjo" w:cs="NanumMyeongjo"/>
          <w:b w:val="0"/>
          <w:i w:val="0"/>
          <w:lang w:val="ko-KR" w:eastAsia="ko-KR"/>
        </w:rPr>
        <w:t>주의: 빈곤·진단·가족 형태 등 속성을 위험의 원인으로 단정하지 말고 생활기능과 환경 장벽에 대한 구체적 근거를 기록합니다.</w:t>
      </w:r>
    </w:p>
    <w:p>
      <w:pPr>
        <w:pStyle w:val="ArticleSmall"/>
      </w:pPr>
      <w:r>
        <w:rPr>
          <w:rFonts w:ascii="NanumMyeongjo" w:hAnsi="NanumMyeongjo" w:eastAsia="NanumMyeongjo" w:cs="NanumMyeongjo"/>
          <w:b/>
          <w:i w:val="0"/>
          <w:lang w:val="ko-KR" w:eastAsia="ko-KR"/>
        </w:rPr>
        <w:t>Q17. 가족 갈등·양육 스트레스로 학생의 정서·학교생활이 영향을 받습니다.</w:t>
      </w:r>
    </w:p>
    <w:p>
      <w:pPr>
        <w:pStyle w:val="ArticleSmall"/>
      </w:pPr>
      <w:r>
        <w:rPr>
          <w:rFonts w:ascii="NanumMyeongjo" w:hAnsi="NanumMyeongjo" w:eastAsia="NanumMyeongjo" w:cs="NanumMyeongjo"/>
          <w:b w:val="0"/>
          <w:i w:val="0"/>
          <w:lang w:val="ko-KR" w:eastAsia="ko-KR"/>
        </w:rPr>
        <w:t xml:space="preserve">해설: 가족 관계의 기능적 영향과 지원망 확인. 관찰 단서: 집 이야기를 피함, 주말 뒤 컨디션 저하, 보호자 사이 연락 전달자 역할, 귀가 지연. 첫 질문 예: “집에서 힘든 건 어른들끼리의 다툼인가요, 나와 어른 사이의 갈등인가요, 집안 사정이 바뀐 것인가요?”</w:t>
      </w:r>
    </w:p>
    <w:p>
      <w:pPr>
        <w:pStyle w:val="ArticleSmall"/>
      </w:pPr>
      <w:r>
        <w:rPr>
          <w:rFonts w:ascii="NanumMyeongjo" w:hAnsi="NanumMyeongjo" w:eastAsia="NanumMyeongjo" w:cs="NanumMyeongjo"/>
          <w:b/>
          <w:i w:val="0"/>
          <w:lang w:val="ko-KR" w:eastAsia="ko-KR"/>
        </w:rPr>
        <w:t>Q18. 학생이 맡는 가족의 간병·돌봄 또는 이를 위한 가사 책임이 학습·휴식·건강을 제한합니다.</w:t>
      </w:r>
    </w:p>
    <w:p>
      <w:pPr>
        <w:pStyle w:val="ArticleSmall"/>
      </w:pPr>
      <w:r>
        <w:rPr>
          <w:rFonts w:ascii="NanumMyeongjo" w:hAnsi="NanumMyeongjo" w:eastAsia="NanumMyeongjo" w:cs="NanumMyeongjo"/>
          <w:b w:val="0"/>
          <w:i w:val="0"/>
          <w:lang w:val="ko-KR" w:eastAsia="ko-KR"/>
        </w:rPr>
        <w:t xml:space="preserve">해설: 간병·가사 부담 및 휴식·학습 영향 확인. 관찰 단서: 동생 등하원, 아픈 가족 간병, 늦은 밤 가사, 방과후 활동 불참, 피로 누적. 첫 질문 예: “하루 중 가족을 돌보는 시간은 언제가 가장 길고, 그 시간에 대신 맡아 줄 어른이 있나요?”</w:t>
      </w:r>
    </w:p>
    <w:p>
      <w:pPr>
        <w:pStyle w:val="ArticleH2"/>
      </w:pPr>
      <w:r>
        <w:rPr>
          <w:rFonts w:ascii="NanumMyeongjo" w:hAnsi="NanumMyeongjo" w:eastAsia="NanumMyeongjo" w:cs="NanumMyeongjo"/>
          <w:b w:val="0"/>
          <w:i w:val="0"/>
          <w:lang w:val="ko-KR" w:eastAsia="ko-KR"/>
        </w:rPr>
        <w:t>6.8 경제·주거 | Q19~Q21</w:t>
      </w:r>
    </w:p>
    <w:p>
      <w:pPr>
        <w:pStyle w:val="ArticleSmall"/>
      </w:pPr>
      <w:r>
        <w:rPr>
          <w:rFonts w:ascii="NanumMyeongjo" w:hAnsi="NanumMyeongjo" w:eastAsia="NanumMyeongjo" w:cs="NanumMyeongjo"/>
          <w:b/>
          <w:i w:val="0"/>
          <w:lang w:val="ko-KR" w:eastAsia="ko-KR"/>
        </w:rPr>
        <w:t>Q19. 식사·의복·위생용품·학습준비물 등 필수 생활자원이 부족합니다.</w:t>
      </w:r>
    </w:p>
    <w:p>
      <w:pPr>
        <w:pStyle w:val="ArticleSmall"/>
      </w:pPr>
      <w:r>
        <w:rPr>
          <w:rFonts w:ascii="NanumMyeongjo" w:hAnsi="NanumMyeongjo" w:eastAsia="NanumMyeongjo" w:cs="NanumMyeongjo"/>
          <w:b w:val="0"/>
          <w:i w:val="0"/>
          <w:lang w:val="ko-KR" w:eastAsia="ko-KR"/>
        </w:rPr>
        <w:t xml:space="preserve">해설: 식사·의복·기본 생활자원 부족 확인. 관찰 단서: 준비물 미지참, 같은 옷 반복, 급식 시간에 많이 먹음, 위생용품 부족. 첫 질문 예: “부족한 건 먹을 것인가요, 옷이나 위생용품인가요, 학교 준비물인가요?”</w:t>
      </w:r>
    </w:p>
    <w:p>
      <w:pPr>
        <w:pStyle w:val="ArticleSmall"/>
      </w:pPr>
      <w:r>
        <w:rPr>
          <w:rFonts w:ascii="NanumMyeongjo" w:hAnsi="NanumMyeongjo" w:eastAsia="NanumMyeongjo" w:cs="NanumMyeongjo"/>
          <w:b w:val="0"/>
          <w:i w:val="0"/>
          <w:lang w:val="ko-KR" w:eastAsia="ko-KR"/>
        </w:rPr>
        <w:t>주의: 빈곤·진단·가족 형태 등 속성을 위험의 원인으로 단정하지 말고 생활기능과 환경 장벽에 대한 구체적 근거를 기록합니다.</w:t>
      </w:r>
    </w:p>
    <w:p>
      <w:pPr>
        <w:pStyle w:val="ArticleSmall"/>
      </w:pPr>
      <w:r>
        <w:rPr>
          <w:rFonts w:ascii="NanumMyeongjo" w:hAnsi="NanumMyeongjo" w:eastAsia="NanumMyeongjo" w:cs="NanumMyeongjo"/>
          <w:b/>
          <w:i w:val="0"/>
          <w:lang w:val="ko-KR" w:eastAsia="ko-KR"/>
        </w:rPr>
        <w:t>Q20. 주거의 불안정·안전하지 않은 환경이 건강·학습을 방해합니다.</w:t>
      </w:r>
    </w:p>
    <w:p>
      <w:pPr>
        <w:pStyle w:val="ArticleSmall"/>
      </w:pPr>
      <w:r>
        <w:rPr>
          <w:rFonts w:ascii="NanumMyeongjo" w:hAnsi="NanumMyeongjo" w:eastAsia="NanumMyeongjo" w:cs="NanumMyeongjo"/>
          <w:b w:val="0"/>
          <w:i w:val="0"/>
          <w:lang w:val="ko-KR" w:eastAsia="ko-KR"/>
        </w:rPr>
        <w:t xml:space="preserve">해설: 현재 거주·안전·학습에 미치는 영향 확인. 관찰 단서: 공부할 공간 없음, 잦은 이사·전학, 친척 집 전전, 난방·위생 문제. 첫 질문 예: “집이 힘든 건 공간이 좁거나 낡아서인가요, 곧 옮겨야 할 수도 있어서인가요, 집에 있기가 불편해서인가요?”</w:t>
      </w:r>
    </w:p>
    <w:p>
      <w:pPr>
        <w:pStyle w:val="ArticleSmall"/>
      </w:pPr>
      <w:r>
        <w:rPr>
          <w:rFonts w:ascii="NanumMyeongjo" w:hAnsi="NanumMyeongjo" w:eastAsia="NanumMyeongjo" w:cs="NanumMyeongjo"/>
          <w:b w:val="0"/>
          <w:i w:val="0"/>
          <w:lang w:val="ko-KR" w:eastAsia="ko-KR"/>
        </w:rPr>
        <w:t>주의: 빈곤·진단·가족 형태 등 속성을 위험의 원인으로 단정하지 말고 생활기능과 환경 장벽에 대한 구체적 근거를 기록합니다.</w:t>
      </w:r>
    </w:p>
    <w:p>
      <w:pPr>
        <w:pStyle w:val="ArticleSmall"/>
      </w:pPr>
      <w:r>
        <w:rPr>
          <w:rFonts w:ascii="NanumMyeongjo" w:hAnsi="NanumMyeongjo" w:eastAsia="NanumMyeongjo" w:cs="NanumMyeongjo"/>
          <w:b/>
          <w:i w:val="0"/>
          <w:lang w:val="ko-KR" w:eastAsia="ko-KR"/>
        </w:rPr>
        <w:t>Q21. 비용 부담으로 필요한 의료·치료·교육·생활 지원을 받지 못합니다.</w:t>
      </w:r>
    </w:p>
    <w:p>
      <w:pPr>
        <w:pStyle w:val="ArticleSmall"/>
      </w:pPr>
      <w:r>
        <w:rPr>
          <w:rFonts w:ascii="NanumMyeongjo" w:hAnsi="NanumMyeongjo" w:eastAsia="NanumMyeongjo" w:cs="NanumMyeongjo"/>
          <w:b w:val="0"/>
          <w:i w:val="0"/>
          <w:lang w:val="ko-KR" w:eastAsia="ko-KR"/>
        </w:rPr>
        <w:t xml:space="preserve">해설: 지원비용 장벽과 대체제도 확인. 관찰 단서: 치료 중단, 수학여행·체험학습 불참, 안경·치과 미해결, 학원·방과후 포기. 첫 질문 예: “비용 때문에 못 한 것 중 가장 필요한 건 병원·치료인가요, 공부·활동인가요, 생활에 필요한 것인가요?”</w:t>
      </w:r>
    </w:p>
    <w:p>
      <w:pPr>
        <w:pStyle w:val="ArticleSmall"/>
      </w:pPr>
      <w:r>
        <w:rPr>
          <w:rFonts w:ascii="NanumMyeongjo" w:hAnsi="NanumMyeongjo" w:eastAsia="NanumMyeongjo" w:cs="NanumMyeongjo"/>
          <w:b w:val="0"/>
          <w:i w:val="0"/>
          <w:lang w:val="ko-KR" w:eastAsia="ko-KR"/>
        </w:rPr>
        <w:t>주의: 빈곤·진단·가족 형태 등 속성을 위험의 원인으로 단정하지 말고 생활기능과 환경 장벽에 대한 구체적 근거를 기록합니다.</w:t>
      </w:r>
    </w:p>
    <w:p>
      <w:pPr>
        <w:pStyle w:val="ArticleH2"/>
      </w:pPr>
      <w:r>
        <w:rPr>
          <w:rFonts w:ascii="NanumMyeongjo" w:hAnsi="NanumMyeongjo" w:eastAsia="NanumMyeongjo" w:cs="NanumMyeongjo"/>
          <w:b w:val="0"/>
          <w:i w:val="0"/>
          <w:lang w:val="ko-KR" w:eastAsia="ko-KR"/>
        </w:rPr>
        <w:t>6.9 관계·지지체계 | Q22~Q23</w:t>
      </w:r>
    </w:p>
    <w:p>
      <w:pPr>
        <w:pStyle w:val="ArticleSmall"/>
      </w:pPr>
      <w:r>
        <w:rPr>
          <w:rFonts w:ascii="NanumMyeongjo" w:hAnsi="NanumMyeongjo" w:eastAsia="NanumMyeongjo" w:cs="NanumMyeongjo"/>
          <w:b/>
          <w:i w:val="0"/>
          <w:lang w:val="ko-KR" w:eastAsia="ko-KR"/>
        </w:rPr>
        <w:t>Q22. 원하는 또래·교내외 활동에 참여하기 어렵고 고립으로 인한 불편을 호소합니다.</w:t>
      </w:r>
    </w:p>
    <w:p>
      <w:pPr>
        <w:pStyle w:val="ArticleSmall"/>
      </w:pPr>
      <w:r>
        <w:rPr>
          <w:rFonts w:ascii="NanumMyeongjo" w:hAnsi="NanumMyeongjo" w:eastAsia="NanumMyeongjo" w:cs="NanumMyeongjo"/>
          <w:b w:val="0"/>
          <w:i w:val="0"/>
          <w:lang w:val="ko-KR" w:eastAsia="ko-KR"/>
        </w:rPr>
        <w:t xml:space="preserve">해설: 참여 의사와 고립의 생활 영향 확인. 관찰 단서: 방과후·동아리 미참여, 주말에 집에만 있음, 친구 이야기 없음. 첫 질문 예: “함께하고 싶은 활동이 있는데 못 하는 건 시간이 없어서인가요, 비용 때문인가요, 같이 갈 사람이 없어서인가요?”</w:t>
      </w:r>
    </w:p>
    <w:p>
      <w:pPr>
        <w:pStyle w:val="ArticleSmall"/>
      </w:pPr>
      <w:r>
        <w:rPr>
          <w:rFonts w:ascii="NanumMyeongjo" w:hAnsi="NanumMyeongjo" w:eastAsia="NanumMyeongjo" w:cs="NanumMyeongjo"/>
          <w:b/>
          <w:i w:val="0"/>
          <w:lang w:val="ko-KR" w:eastAsia="ko-KR"/>
        </w:rPr>
        <w:t>Q23. 도움이 필요할 때 실제로 연락하고 도움받을 신뢰할 어른·지원체계가 부족합니다.</w:t>
      </w:r>
    </w:p>
    <w:p>
      <w:pPr>
        <w:pStyle w:val="ArticleSmall"/>
      </w:pPr>
      <w:r>
        <w:rPr>
          <w:rFonts w:ascii="NanumMyeongjo" w:hAnsi="NanumMyeongjo" w:eastAsia="NanumMyeongjo" w:cs="NanumMyeongjo"/>
          <w:b w:val="0"/>
          <w:i w:val="0"/>
          <w:lang w:val="ko-KR" w:eastAsia="ko-KR"/>
        </w:rPr>
        <w:t xml:space="preserve">해설: 신뢰할 어른·실제로 가능한 도움 확인. 관찰 단서: 어려움을 말하지 않음, "괜찮아요"를 반복, 어른의 도움 제안을 거절, 혼자 해결하려 함. 첫 질문 예: “힘들 때 연락할 수 있는 사람이 있다면 그 사람은 가족인가요, 학교 선생님인가요, 친구인가요? 실제로 연락해 본 적은 있나요?”</w:t>
      </w:r>
    </w:p>
    <w:p>
      <w:pPr>
        <w:pStyle w:val="ArticleSmall"/>
      </w:pPr>
      <w:r>
        <w:rPr>
          <w:rFonts w:ascii="NanumMyeongjo" w:hAnsi="NanumMyeongjo" w:eastAsia="NanumMyeongjo" w:cs="NanumMyeongjo"/>
          <w:b w:val="0"/>
          <w:i w:val="0"/>
          <w:lang w:val="ko-KR" w:eastAsia="ko-KR"/>
        </w:rPr>
        <w:t>주의: 빈곤·진단·가족 형태 등 속성을 위험의 원인으로 단정하지 말고 생활기능과 환경 장벽에 대한 구체적 근거를 기록합니다.</w:t>
      </w:r>
    </w:p>
    <w:p>
      <w:pPr>
        <w:pStyle w:val="ArticleH2"/>
      </w:pPr>
      <w:r>
        <w:rPr>
          <w:rFonts w:ascii="NanumMyeongjo" w:hAnsi="NanumMyeongjo" w:eastAsia="NanumMyeongjo" w:cs="NanumMyeongjo"/>
          <w:b w:val="0"/>
          <w:i w:val="0"/>
          <w:lang w:val="ko-KR" w:eastAsia="ko-KR"/>
        </w:rPr>
        <w:t>6.10 디지털·온라인 안전 | Q24~Q25</w:t>
      </w:r>
    </w:p>
    <w:p>
      <w:pPr>
        <w:pStyle w:val="ArticleSmall"/>
      </w:pPr>
      <w:r>
        <w:rPr>
          <w:rFonts w:ascii="NanumMyeongjo" w:hAnsi="NanumMyeongjo" w:eastAsia="NanumMyeongjo" w:cs="NanumMyeongjo"/>
          <w:b/>
          <w:i w:val="0"/>
          <w:lang w:val="ko-KR" w:eastAsia="ko-KR"/>
        </w:rPr>
        <w:t>Q24. 게임·SNS·영상 등의 이용 조절 어려움 때문에 수면·학습·대면 활동에 기능 저하가 있습니다.</w:t>
      </w:r>
    </w:p>
    <w:p>
      <w:pPr>
        <w:pStyle w:val="ArticleSmall"/>
      </w:pPr>
      <w:r>
        <w:rPr>
          <w:rFonts w:ascii="NanumMyeongjo" w:hAnsi="NanumMyeongjo" w:eastAsia="NanumMyeongjo" w:cs="NanumMyeongjo"/>
          <w:b w:val="0"/>
          <w:i w:val="0"/>
          <w:lang w:val="ko-KR" w:eastAsia="ko-KR"/>
        </w:rPr>
        <w:t xml:space="preserve">해설: 사용시간 자체보다 기능저하 확인. 관찰 단서: 수업 중 졸음, 새벽까지 온라인 활동, 기기 제한 시 격한 반응, 온라인 친구만 있음. 첫 질문 예: “휴대폰·게임을 오래 하는 건 재미있어서인가요, 할 일이 없어서인가요, 힘든 마음을 잊으려고인가요?”</w:t>
      </w:r>
    </w:p>
    <w:p>
      <w:pPr>
        <w:pStyle w:val="ArticleSmall"/>
      </w:pPr>
      <w:r>
        <w:rPr>
          <w:rFonts w:ascii="NanumMyeongjo" w:hAnsi="NanumMyeongjo" w:eastAsia="NanumMyeongjo" w:cs="NanumMyeongjo"/>
          <w:b/>
          <w:i w:val="0"/>
          <w:lang w:val="ko-KR" w:eastAsia="ko-KR"/>
        </w:rPr>
        <w:t>Q25. 온라인 그루밍·성적 요구·디지털 성착취·협박에 노출된 징후가 있습니다.</w:t>
      </w:r>
    </w:p>
    <w:p>
      <w:pPr>
        <w:pStyle w:val="ArticleSmall"/>
      </w:pPr>
      <w:r>
        <w:rPr>
          <w:rFonts w:ascii="NanumMyeongjo" w:hAnsi="NanumMyeongjo" w:eastAsia="NanumMyeongjo" w:cs="NanumMyeongjo"/>
          <w:b w:val="0"/>
          <w:i w:val="0"/>
          <w:lang w:val="ko-KR" w:eastAsia="ko-KR"/>
        </w:rPr>
        <w:t xml:space="preserve">해설: 학생 비난 금지, 안전·피해 보호 및 신고 검토. 관찰 단서: 특정 앱 알림에 불안해함, 갑작스러운 계정 삭제, 모르는 사람과의 연락, 돈·선물 수수. 첫 질문 예: “온라인에서 불편한 요구를 받았다면 사진이나 만남 요구였나요, 이미 보낸 것을 퍼뜨리겠다는 말이었나요?”</w:t>
      </w:r>
    </w:p>
    <w:p>
      <w:pPr>
        <w:pStyle w:val="ArticleSmall"/>
      </w:pPr>
      <w:r>
        <w:rPr>
          <w:rFonts w:ascii="NanumMyeongjo" w:hAnsi="NanumMyeongjo" w:eastAsia="NanumMyeongjo" w:cs="NanumMyeongjo"/>
          <w:b w:val="0"/>
          <w:i w:val="0"/>
          <w:lang w:val="ko-KR" w:eastAsia="ko-KR"/>
        </w:rPr>
        <w:t>분기: 점수 1~4는 핵심 안전 확인 대상입니다. 해당 사실의 시점·현재 안전·적절한 신고·보호 절차를 별도 확인합니다.</w:t>
      </w:r>
    </w:p>
    <w:p>
      <w:pPr>
        <w:pStyle w:val="ArticleH1"/>
      </w:pPr>
      <w:r>
        <w:rPr>
          <w:rFonts w:ascii="NanumMyeongjo" w:hAnsi="NanumMyeongjo" w:eastAsia="NanumMyeongjo" w:cs="NanumMyeongjo"/>
          <w:b w:val="0"/>
          <w:i w:val="0"/>
          <w:lang w:val="ko-KR" w:eastAsia="ko-KR"/>
        </w:rPr>
        <w:t xml:space="preserve">7. 문항교차 가설과 해석지 교차 패턴</w:t>
      </w:r>
    </w:p>
    <w:p>
      <w:pPr>
        <w:pStyle w:val="ArticleBody"/>
        <w:jc w:val="both"/>
      </w:pPr>
      <w:r>
        <w:rPr>
          <w:rFonts w:ascii="NanumMyeongjo" w:hAnsi="NanumMyeongjo" w:eastAsia="NanumMyeongjo" w:cs="NanumMyeongjo"/>
          <w:b w:val="0"/>
          <w:i w:val="0"/>
          <w:lang w:val="ko-KR" w:eastAsia="ko-KR"/>
        </w:rPr>
        <w:t xml:space="preserve">현재 시스템에는 두 개의 교차 규칙 집합이 있다. 평가 화면과 기존 보고서 출력은 evidence-matrix.js의 24개 교차가설을 사용하고, ① 척도 해석의 심층 해석지는 oy-cross-patterns-v1.js의 23개 교차 패턴을 사용한다. 아래 7.1까지는 24개 교차가설을, 7.2는 23개 교차 패턴을 다룬다. 두 집합의 통합 여부는 후속 정비 과제이다.</w:t>
      </w:r>
    </w:p>
    <w:p>
      <w:pPr>
        <w:pStyle w:val="ArticleBody"/>
        <w:jc w:val="both"/>
      </w:pPr>
      <w:r>
        <w:rPr>
          <w:rFonts w:ascii="NanumMyeongjo" w:hAnsi="NanumMyeongjo" w:eastAsia="NanumMyeongjo" w:cs="NanumMyeongjo"/>
          <w:b w:val="0"/>
          <w:i w:val="0"/>
          <w:lang w:val="ko-KR" w:eastAsia="ko-KR"/>
        </w:rPr>
        <w:t>교차 규칙은 두 개 또는 세 개 문항군에서 각각 적어도 하나의 2점 이상 응답이 있을 때 활성화되는 개발 가설이다. 교차 규칙의 동시출현은 인과관계·임상 위험·사안 성립을 증명하지 않는다. 교차가설을 종합보고서에 표시할 때에는 가설이 나온 원문항과 미상 문항을 함께 보여준다.</w:t>
      </w:r>
    </w:p>
    <w:p>
      <w:pPr>
        <w:pStyle w:val="ArticleTableLabel"/>
      </w:pPr>
      <w:r>
        <w:rPr>
          <w:rFonts w:ascii="NanumGothic" w:hAnsi="NanumGothic" w:eastAsia="NanumGothic" w:cs="NanumGothic"/>
          <w:b/>
          <w:sz w:val="18"/>
          <w:lang w:val="ko-KR" w:eastAsia="ko-KR"/>
        </w:rPr>
        <w:t xml:space="preserve">〈표 8〉  문항교차 가설 규칙(1)</w:t>
      </w:r>
    </w:p>
    <w:tbl>
      <w:tblPr>
        <w:tblW w:type="auto" w:w="0"/>
        <w:jc w:val="center"/>
        <w:tblLayout w:type="fixed"/>
        <w:tblLook w:firstColumn="1" w:firstRow="1" w:lastColumn="0" w:lastRow="0" w:noHBand="0" w:noVBand="1" w:val="04A0"/>
      </w:tblPr>
      <w:tblGrid>
        <w:gridCol w:w="2636"/>
        <w:gridCol w:w="2665"/>
        <w:gridCol w:w="3770"/>
      </w:tblGrid>
      <w:tr>
        <w:trPr>
          <w:cantSplit/>
          <w:tblHeader w:val="true"/>
        </w:trPr>
        <w:tc>
          <w:tcPr>
            <w:tcW w:type="dxa" w:w="2636"/>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규칙</w:t>
            </w:r>
          </w:p>
        </w:tc>
        <w:tc>
          <w:tcPr>
            <w:tcW w:type="dxa" w:w="2665"/>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문항군</w:t>
            </w:r>
          </w:p>
        </w:tc>
        <w:tc>
          <w:tcPr>
            <w:tcW w:type="dxa" w:w="3770"/>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추가 사정·연계 초점</w:t>
            </w:r>
          </w:p>
        </w:tc>
      </w:tr>
      <w:tr>
        <w:trPr>
          <w:cantSplit/>
        </w:trPr>
        <w:tc>
          <w:tcPr>
            <w:tcW w:type="dxa" w:w="263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PEER_ATTEND</w:t>
            </w:r>
          </w:p>
        </w:tc>
        <w:tc>
          <w:tcPr>
            <w:tcW w:type="dxa" w:w="266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또래 피해×수업참여 / 3·4 ↔ 9·11</w:t>
            </w:r>
          </w:p>
        </w:tc>
        <w:tc>
          <w:tcPr>
            <w:tcW w:type="dxa" w:w="377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피해 시점과 출결 변화의 관련성 확인</w:t>
            </w:r>
          </w:p>
        </w:tc>
      </w:tr>
      <w:tr>
        <w:trPr>
          <w:cantSplit/>
        </w:trPr>
        <w:tc>
          <w:tcPr>
            <w:tcW w:type="dxa" w:w="263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LEARN_BASIC</w:t>
            </w:r>
          </w:p>
        </w:tc>
        <w:tc>
          <w:tcPr>
            <w:tcW w:type="dxa" w:w="266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기본생활×학습참여 / 9·10·11 ↔ 19·20·21</w:t>
            </w:r>
          </w:p>
        </w:tc>
        <w:tc>
          <w:tcPr>
            <w:tcW w:type="dxa" w:w="377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생활자원 공백과 교육참여 장벽 구분</w:t>
            </w:r>
          </w:p>
        </w:tc>
      </w:tr>
      <w:tr>
        <w:trPr>
          <w:cantSplit/>
        </w:trPr>
        <w:tc>
          <w:tcPr>
            <w:tcW w:type="dxa" w:w="263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FAMILY_SCHOOL</w:t>
            </w:r>
          </w:p>
        </w:tc>
        <w:tc>
          <w:tcPr>
            <w:tcW w:type="dxa" w:w="266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가족·돌봄×학교 / 16·17·18 ↔ 9·10·11</w:t>
            </w:r>
          </w:p>
        </w:tc>
        <w:tc>
          <w:tcPr>
            <w:tcW w:type="dxa" w:w="377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돌봄 시간과 학교 참여 영향 파악</w:t>
            </w:r>
          </w:p>
        </w:tc>
      </w:tr>
      <w:tr>
        <w:trPr>
          <w:cantSplit/>
        </w:trPr>
        <w:tc>
          <w:tcPr>
            <w:tcW w:type="dxa" w:w="263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MOOD_SCHOOL</w:t>
            </w:r>
          </w:p>
        </w:tc>
        <w:tc>
          <w:tcPr>
            <w:tcW w:type="dxa" w:w="266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정서×학교참여 / 6·8 ↔ 9·10·11</w:t>
            </w:r>
          </w:p>
        </w:tc>
        <w:tc>
          <w:tcPr>
            <w:tcW w:type="dxa" w:w="377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정서 곤란과 학교환경 조정 병행</w:t>
            </w:r>
          </w:p>
        </w:tc>
      </w:tr>
      <w:tr>
        <w:trPr>
          <w:cantSplit/>
        </w:trPr>
        <w:tc>
          <w:tcPr>
            <w:tcW w:type="dxa" w:w="263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SELFHARM_MOOD</w:t>
            </w:r>
          </w:p>
        </w:tc>
        <w:tc>
          <w:tcPr>
            <w:tcW w:type="dxa" w:w="266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자해신호×정서·지지 / 7 ↔ 6·8·22·23</w:t>
            </w:r>
          </w:p>
        </w:tc>
        <w:tc>
          <w:tcPr>
            <w:tcW w:type="dxa" w:w="377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현재 안전 직접 확인 후 지지체계 마련</w:t>
            </w:r>
          </w:p>
        </w:tc>
      </w:tr>
      <w:tr>
        <w:trPr>
          <w:cantSplit/>
        </w:trPr>
        <w:tc>
          <w:tcPr>
            <w:tcW w:type="dxa" w:w="263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PROTECT_BASIC</w:t>
            </w:r>
          </w:p>
        </w:tc>
        <w:tc>
          <w:tcPr>
            <w:tcW w:type="dxa" w:w="266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보호 위험×기본생활 / 1·2 ↔ 16·19·20</w:t>
            </w:r>
          </w:p>
        </w:tc>
        <w:tc>
          <w:tcPr>
            <w:tcW w:type="dxa" w:w="377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보호와 생활지원 병행·방임 단정 금지</w:t>
            </w:r>
          </w:p>
        </w:tc>
      </w:tr>
      <w:tr>
        <w:trPr>
          <w:cantSplit/>
        </w:trPr>
        <w:tc>
          <w:tcPr>
            <w:tcW w:type="dxa" w:w="263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ONLINE_PEER</w:t>
            </w:r>
          </w:p>
        </w:tc>
        <w:tc>
          <w:tcPr>
            <w:tcW w:type="dxa" w:w="266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온라인 착취×또래 피해 / 25 ↔ 3·4</w:t>
            </w:r>
          </w:p>
        </w:tc>
        <w:tc>
          <w:tcPr>
            <w:tcW w:type="dxa" w:w="377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접촉 지속·추가 노출·피해 보호 확인</w:t>
            </w:r>
          </w:p>
        </w:tc>
      </w:tr>
      <w:tr>
        <w:trPr>
          <w:cantSplit/>
        </w:trPr>
        <w:tc>
          <w:tcPr>
            <w:tcW w:type="dxa" w:w="2636"/>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ONLINE_MOOD</w:t>
            </w:r>
          </w:p>
        </w:tc>
        <w:tc>
          <w:tcPr>
            <w:tcW w:type="dxa" w:w="2665"/>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온라인 피해×정서·지지 / 25 ↔ 6·8·23</w:t>
            </w:r>
          </w:p>
        </w:tc>
        <w:tc>
          <w:tcPr>
            <w:tcW w:type="dxa" w:w="3770"/>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보호조치와 정서지원·연락안전 구분</w:t>
            </w:r>
          </w:p>
        </w:tc>
      </w:tr>
    </w:tbl>
    <w:p>
      <w:pPr>
        <w:pStyle w:val="ArticleTableLabel"/>
      </w:pPr>
      <w:r>
        <w:rPr>
          <w:rFonts w:ascii="NanumGothic" w:hAnsi="NanumGothic" w:eastAsia="NanumGothic" w:cs="NanumGothic"/>
          <w:b/>
          <w:sz w:val="18"/>
          <w:lang w:val="ko-KR" w:eastAsia="ko-KR"/>
        </w:rPr>
        <w:t xml:space="preserve">〈표 9〉  문항교차 가설 규칙(2)</w:t>
      </w:r>
    </w:p>
    <w:tbl>
      <w:tblPr>
        <w:tblW w:type="auto" w:w="0"/>
        <w:jc w:val="center"/>
        <w:tblLayout w:type="fixed"/>
        <w:tblLook w:firstColumn="1" w:firstRow="1" w:lastColumn="0" w:lastRow="0" w:noHBand="0" w:noVBand="1" w:val="04A0"/>
      </w:tblPr>
      <w:tblGrid>
        <w:gridCol w:w="2636"/>
        <w:gridCol w:w="2665"/>
        <w:gridCol w:w="3770"/>
      </w:tblGrid>
      <w:tr>
        <w:trPr>
          <w:cantSplit/>
          <w:tblHeader w:val="true"/>
        </w:trPr>
        <w:tc>
          <w:tcPr>
            <w:tcW w:type="dxa" w:w="2636"/>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규칙</w:t>
            </w:r>
          </w:p>
        </w:tc>
        <w:tc>
          <w:tcPr>
            <w:tcW w:type="dxa" w:w="2665"/>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문항군</w:t>
            </w:r>
          </w:p>
        </w:tc>
        <w:tc>
          <w:tcPr>
            <w:tcW w:type="dxa" w:w="3770"/>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추가 사정·연계 초점</w:t>
            </w:r>
          </w:p>
        </w:tc>
      </w:tr>
      <w:tr>
        <w:trPr>
          <w:cantSplit/>
        </w:trPr>
        <w:tc>
          <w:tcPr>
            <w:tcW w:type="dxa" w:w="263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HOUSING_ATTEND</w:t>
            </w:r>
          </w:p>
        </w:tc>
        <w:tc>
          <w:tcPr>
            <w:tcW w:type="dxa" w:w="266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주거×학교생활 / 20 ↔ 9·10·11</w:t>
            </w:r>
          </w:p>
        </w:tc>
        <w:tc>
          <w:tcPr>
            <w:tcW w:type="dxa" w:w="377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거주·통학·학습공간 영향 확인</w:t>
            </w:r>
          </w:p>
        </w:tc>
      </w:tr>
      <w:tr>
        <w:trPr>
          <w:cantSplit/>
        </w:trPr>
        <w:tc>
          <w:tcPr>
            <w:tcW w:type="dxa" w:w="263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CARE_SCHOOL</w:t>
            </w:r>
          </w:p>
        </w:tc>
        <w:tc>
          <w:tcPr>
            <w:tcW w:type="dxa" w:w="266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가족돌봄×교육권 / 18 ↔ 9·10</w:t>
            </w:r>
          </w:p>
        </w:tc>
        <w:tc>
          <w:tcPr>
            <w:tcW w:type="dxa" w:w="377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대체돌봄·휴식·학습시간 조정</w:t>
            </w:r>
          </w:p>
        </w:tc>
      </w:tr>
      <w:tr>
        <w:trPr>
          <w:cantSplit/>
        </w:trPr>
        <w:tc>
          <w:tcPr>
            <w:tcW w:type="dxa" w:w="263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ACCESS_LEARN</w:t>
            </w:r>
          </w:p>
        </w:tc>
        <w:tc>
          <w:tcPr>
            <w:tcW w:type="dxa" w:w="266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접근성×학습 / 14·15 ↔ 9·10·11</w:t>
            </w:r>
          </w:p>
        </w:tc>
        <w:tc>
          <w:tcPr>
            <w:tcW w:type="dxa" w:w="377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진단 추정 대신 환경 조정 필요 사정</w:t>
            </w:r>
          </w:p>
        </w:tc>
      </w:tr>
      <w:tr>
        <w:trPr>
          <w:cantSplit/>
        </w:trPr>
        <w:tc>
          <w:tcPr>
            <w:tcW w:type="dxa" w:w="263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ISOL_MOOD</w:t>
            </w:r>
          </w:p>
        </w:tc>
        <w:tc>
          <w:tcPr>
            <w:tcW w:type="dxa" w:w="266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고립·지지×정서 / 22·23 ↔ 6·8</w:t>
            </w:r>
          </w:p>
        </w:tc>
        <w:tc>
          <w:tcPr>
            <w:tcW w:type="dxa" w:w="377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학생이 선택한 신뢰관계 확인</w:t>
            </w:r>
          </w:p>
        </w:tc>
      </w:tr>
      <w:tr>
        <w:trPr>
          <w:cantSplit/>
        </w:trPr>
        <w:tc>
          <w:tcPr>
            <w:tcW w:type="dxa" w:w="263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DIGITAL_DAILY</w:t>
            </w:r>
          </w:p>
        </w:tc>
        <w:tc>
          <w:tcPr>
            <w:tcW w:type="dxa" w:w="266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디지털×일상 / 24 ↔ 8·9·10</w:t>
            </w:r>
          </w:p>
        </w:tc>
        <w:tc>
          <w:tcPr>
            <w:tcW w:type="dxa" w:w="377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이용시간보다 실제 기능 저하 확인</w:t>
            </w:r>
          </w:p>
        </w:tc>
      </w:tr>
      <w:tr>
        <w:trPr>
          <w:cantSplit/>
        </w:trPr>
        <w:tc>
          <w:tcPr>
            <w:tcW w:type="dxa" w:w="263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HOUSING_MOOD</w:t>
            </w:r>
          </w:p>
        </w:tc>
        <w:tc>
          <w:tcPr>
            <w:tcW w:type="dxa" w:w="266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생활 불안×정서 / 19·20 ↔ 6·8</w:t>
            </w:r>
          </w:p>
        </w:tc>
        <w:tc>
          <w:tcPr>
            <w:tcW w:type="dxa" w:w="377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생활지원과 정서지원 목표 분리</w:t>
            </w:r>
          </w:p>
        </w:tc>
      </w:tr>
      <w:tr>
        <w:trPr>
          <w:cantSplit/>
        </w:trPr>
        <w:tc>
          <w:tcPr>
            <w:tcW w:type="dxa" w:w="263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FAMILY_EMOTION</w:t>
            </w:r>
          </w:p>
        </w:tc>
        <w:tc>
          <w:tcPr>
            <w:tcW w:type="dxa" w:w="266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가족관계×정서 / 17 ↔ 6·8</w:t>
            </w:r>
          </w:p>
        </w:tc>
        <w:tc>
          <w:tcPr>
            <w:tcW w:type="dxa" w:w="377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학생·가정 양측 정보와 연락안전 검토</w:t>
            </w:r>
          </w:p>
        </w:tc>
      </w:tr>
      <w:tr>
        <w:trPr>
          <w:cantSplit/>
        </w:trPr>
        <w:tc>
          <w:tcPr>
            <w:tcW w:type="dxa" w:w="2636"/>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COST_ACCESS</w:t>
            </w:r>
          </w:p>
        </w:tc>
        <w:tc>
          <w:tcPr>
            <w:tcW w:type="dxa" w:w="2665"/>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비용장벽×교육·발달 / 21·19 ↔ 14·15</w:t>
            </w:r>
          </w:p>
        </w:tc>
        <w:tc>
          <w:tcPr>
            <w:tcW w:type="dxa" w:w="3770"/>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실제 미이용 서비스·비용부담 확인</w:t>
            </w:r>
          </w:p>
        </w:tc>
      </w:tr>
    </w:tbl>
    <w:p>
      <w:pPr>
        <w:pStyle w:val="ArticleTableLabel"/>
      </w:pPr>
      <w:r>
        <w:rPr>
          <w:rFonts w:ascii="NanumGothic" w:hAnsi="NanumGothic" w:eastAsia="NanumGothic" w:cs="NanumGothic"/>
          <w:b/>
          <w:sz w:val="18"/>
          <w:lang w:val="ko-KR" w:eastAsia="ko-KR"/>
        </w:rPr>
        <w:t xml:space="preserve">〈표 10〉  문항교차 가설 규칙(3)</w:t>
      </w:r>
    </w:p>
    <w:tbl>
      <w:tblPr>
        <w:tblW w:type="auto" w:w="0"/>
        <w:jc w:val="center"/>
        <w:tblLayout w:type="fixed"/>
        <w:tblLook w:firstColumn="1" w:firstRow="1" w:lastColumn="0" w:lastRow="0" w:noHBand="0" w:noVBand="1" w:val="04A0"/>
      </w:tblPr>
      <w:tblGrid>
        <w:gridCol w:w="1804"/>
        <w:gridCol w:w="3453"/>
        <w:gridCol w:w="3814"/>
      </w:tblGrid>
      <w:tr>
        <w:trPr>
          <w:cantSplit/>
          <w:tblHeader w:val="true"/>
        </w:trPr>
        <w:tc>
          <w:tcPr>
            <w:tcW w:type="dxa" w:w="1804"/>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규칙</w:t>
            </w:r>
          </w:p>
        </w:tc>
        <w:tc>
          <w:tcPr>
            <w:tcW w:type="dxa" w:w="3453"/>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문항군</w:t>
            </w:r>
          </w:p>
        </w:tc>
        <w:tc>
          <w:tcPr>
            <w:tcW w:type="dxa" w:w="3814"/>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추가 사정·연계 초점</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BEHAV_PEER</w:t>
            </w:r>
          </w:p>
        </w:tc>
        <w:tc>
          <w:tcPr>
            <w:tcW w:type="dxa" w:w="3453"/>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위협행동×또래 안전 / 5·12 ↔ 3·4</w:t>
            </w:r>
          </w:p>
        </w:tc>
        <w:tc>
          <w:tcPr>
            <w:tcW w:type="dxa" w:w="381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피해·가해·갈등의 개별 사실 확인</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HEALTH_BEHAV</w:t>
            </w:r>
          </w:p>
        </w:tc>
        <w:tc>
          <w:tcPr>
            <w:tcW w:type="dxa" w:w="3453"/>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위험행동×건강·정서 / 12·13 ↔ 6·8</w:t>
            </w:r>
          </w:p>
        </w:tc>
        <w:tc>
          <w:tcPr>
            <w:tcW w:type="dxa" w:w="381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응급성 선확인·의료판정 분리</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BASIC_CARE</w:t>
            </w:r>
          </w:p>
        </w:tc>
        <w:tc>
          <w:tcPr>
            <w:tcW w:type="dxa" w:w="3453"/>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돌봄공백×가족생활 / 16 ↔ 18·19</w:t>
            </w:r>
          </w:p>
        </w:tc>
        <w:tc>
          <w:tcPr>
            <w:tcW w:type="dxa" w:w="381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공백 시간·돌봄 대체자원 확인</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BASIC_REL</w:t>
            </w:r>
          </w:p>
        </w:tc>
        <w:tc>
          <w:tcPr>
            <w:tcW w:type="dxa" w:w="3453"/>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주거·생계×돌봄 / 19·20 ↔ 16·18</w:t>
            </w:r>
          </w:p>
        </w:tc>
        <w:tc>
          <w:tcPr>
            <w:tcW w:type="dxa" w:w="381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빈곤 자체와 학대 구분·복합사정</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THREE_WAY</w:t>
            </w:r>
          </w:p>
        </w:tc>
        <w:tc>
          <w:tcPr>
            <w:tcW w:type="dxa" w:w="3453"/>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학교×주거×돌봄 / 9·10·11 ↔ 20 ↔ 16·17·18</w:t>
            </w:r>
          </w:p>
        </w:tc>
        <w:tc>
          <w:tcPr>
            <w:tcW w:type="dxa" w:w="381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3개 경로 개별 사정 후 공동계획</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MIX_PROTECT</w:t>
            </w:r>
          </w:p>
        </w:tc>
        <w:tc>
          <w:tcPr>
            <w:tcW w:type="dxa" w:w="3453"/>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보호×생활×지지 / 1·2 ↔ 19 ↔ 23</w:t>
            </w:r>
          </w:p>
        </w:tc>
        <w:tc>
          <w:tcPr>
            <w:tcW w:type="dxa" w:w="381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안전·기본생활·연락할 어른 동시 검토</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MED_SCHOOL</w:t>
            </w:r>
          </w:p>
        </w:tc>
        <w:tc>
          <w:tcPr>
            <w:tcW w:type="dxa" w:w="3453"/>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건강행동×교육참여 / 13 ↔ 9·10·14</w:t>
            </w:r>
          </w:p>
        </w:tc>
        <w:tc>
          <w:tcPr>
            <w:tcW w:type="dxa" w:w="381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건강과 학습의 별도 지원 필요 확인</w:t>
            </w:r>
          </w:p>
        </w:tc>
      </w:tr>
      <w:tr>
        <w:trPr>
          <w:cantSplit/>
        </w:trPr>
        <w:tc>
          <w:tcPr>
            <w:tcW w:type="dxa" w:w="1804"/>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HOPE_SUPPORT</w:t>
            </w:r>
          </w:p>
        </w:tc>
        <w:tc>
          <w:tcPr>
            <w:tcW w:type="dxa" w:w="3453"/>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학교소속×관계·지지 / 11 ↔ 22·23</w:t>
            </w:r>
          </w:p>
        </w:tc>
        <w:tc>
          <w:tcPr>
            <w:tcW w:type="dxa" w:w="3814"/>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학교소속감·지원망·학생 희망 검토</w:t>
            </w:r>
          </w:p>
        </w:tc>
      </w:tr>
    </w:tbl>
    <w:p>
      <w:pPr>
        <w:pStyle w:val="ArticleH2"/>
      </w:pPr>
      <w:r>
        <w:rPr>
          <w:rFonts w:ascii="NanumMyeongjo" w:hAnsi="NanumMyeongjo" w:eastAsia="NanumMyeongjo" w:cs="NanumMyeongjo"/>
          <w:b w:val="0"/>
          <w:i w:val="0"/>
          <w:lang w:val="ko-KR" w:eastAsia="ko-KR"/>
        </w:rPr>
        <w:t>7.1 교차 분석이 실제로 의미하는 바</w:t>
      </w:r>
    </w:p>
    <w:p>
      <w:pPr>
        <w:pStyle w:val="ArticleBody"/>
        <w:jc w:val="both"/>
      </w:pPr>
      <w:r>
        <w:rPr>
          <w:rFonts w:ascii="NanumMyeongjo" w:hAnsi="NanumMyeongjo" w:eastAsia="NanumMyeongjo" w:cs="NanumMyeongjo"/>
          <w:b w:val="0"/>
          <w:i w:val="0"/>
          <w:lang w:val="ko-KR" w:eastAsia="ko-KR"/>
        </w:rPr>
        <w:t>또래 피해(3번)와 등교 곤란(9번)이 동시 확인될 때 필요한 것은 “피해 때문에 결석했다”는 자동판정이 아니라 두 현상이 발생한 시점과 장소, 학생이 경험한 위협, 대안적인 학교 참여 지원을 알아보는 것이다.</w:t>
      </w:r>
    </w:p>
    <w:p>
      <w:pPr>
        <w:pStyle w:val="ArticleBody"/>
        <w:jc w:val="both"/>
      </w:pPr>
      <w:r>
        <w:rPr>
          <w:rFonts w:ascii="NanumMyeongjo" w:hAnsi="NanumMyeongjo" w:eastAsia="NanumMyeongjo" w:cs="NanumMyeongjo"/>
          <w:b w:val="0"/>
          <w:i w:val="0"/>
          <w:lang w:val="ko-KR" w:eastAsia="ko-KR"/>
        </w:rPr>
        <w:t>가족돌봄(18번)과 출결(9번) 동시응답은 돌봄시간·대체 돌봄·학생의 희망·보호자의 지원 가능성을 확인하는 질문으로 이어진다. 이것이 교육 지원과 생활 지원의 역할 분담을 설계하는 근거가 된다.</w:t>
      </w:r>
    </w:p>
    <w:p>
      <w:pPr>
        <w:pStyle w:val="ArticleBody"/>
        <w:jc w:val="both"/>
      </w:pPr>
      <w:r>
        <w:rPr>
          <w:rFonts w:ascii="NanumMyeongjo" w:hAnsi="NanumMyeongjo" w:eastAsia="NanumMyeongjo" w:cs="NanumMyeongjo"/>
          <w:b w:val="0"/>
          <w:i w:val="0"/>
          <w:lang w:val="ko-KR" w:eastAsia="ko-KR"/>
        </w:rPr>
        <w:t>보호 위험(1·2번)과 식사·주거 부족(19·20번) 동시응답은 신고·보호와 기본생활 지원의 병행 필요를 뜻하나, 경제적 빈곤만으로 학대나 방임을 확정하지 않는다.</w:t>
      </w:r>
    </w:p>
    <w:p>
      <w:pPr>
        <w:pStyle w:val="ArticleH2"/>
      </w:pPr>
      <w:r>
        <w:rPr>
          <w:rFonts w:ascii="NanumMyeongjo" w:hAnsi="NanumMyeongjo" w:eastAsia="NanumMyeongjo" w:cs="NanumMyeongjo"/>
          <w:b w:val="0"/>
          <w:i w:val="0"/>
          <w:lang w:val="ko-KR" w:eastAsia="ko-KR"/>
        </w:rPr>
        <w:t xml:space="preserve">7.2 해석지의 23개 교차 패턴</w:t>
      </w:r>
    </w:p>
    <w:p>
      <w:pPr>
        <w:pStyle w:val="ArticleBody"/>
        <w:jc w:val="both"/>
      </w:pPr>
      <w:r>
        <w:rPr>
          <w:rFonts w:ascii="NanumMyeongjo" w:hAnsi="NanumMyeongjo" w:eastAsia="NanumMyeongjo" w:cs="NanumMyeongjo"/>
          <w:b w:val="0"/>
          <w:i w:val="0"/>
          <w:lang w:val="ko-KR" w:eastAsia="ko-KR"/>
        </w:rPr>
        <w:t xml:space="preserve">교차 패턴은 핵심 문항이 모두 기준 점수 이상일 때 활성화되고, 핵심 문항 중 미상이 있으면 “확인 대기”로 표시된다. 보조 문항은 패턴의 강도를 더할 뿐 활성화 조건이 아니다. 각 패턴은 문제 유지 고리, 일상 단서, 첫 질문, 첫 개입, 자문 포인트를 갖는다. 패턴 이름은 응답 구조를 부르는 이름이며 진단명이 아니다.</w:t>
      </w:r>
    </w:p>
    <w:p>
      <w:pPr>
        <w:pStyle w:val="ArticleTableLabel"/>
      </w:pPr>
      <w:r>
        <w:rPr>
          <w:rFonts w:ascii="NanumGothic" w:hAnsi="NanumGothic" w:eastAsia="NanumGothic" w:cs="NanumGothic"/>
          <w:b/>
          <w:sz w:val="18"/>
          <w:lang w:val="ko-KR" w:eastAsia="ko-KR"/>
        </w:rPr>
        <w:t xml:space="preserve">〈표 11〉  해석지 교차 패턴의 활성화 조건</w:t>
      </w:r>
    </w:p>
    <w:tbl>
      <w:tblPr>
        <w:tblW w:type="auto" w:w="0"/>
        <w:jc w:val="center"/>
        <w:tblLayout w:type="fixed"/>
        <w:tblLook w:firstColumn="1" w:firstRow="1" w:lastColumn="0" w:lastRow="0" w:noHBand="0" w:noVBand="1" w:val="04A0"/>
      </w:tblPr>
      <w:tblGrid>
        <w:gridCol w:w="3300"/>
        <w:gridCol w:w="3500"/>
        <w:gridCol w:w="2271"/>
      </w:tblGrid>
      <w:tr>
        <w:trPr>
          <w:cantSplit/>
          <w:tblHeader w:val="true"/>
        </w:trPr>
        <w:tc>
          <w:tcPr>
            <w:tcW w:type="dxa" w:w="3300"/>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 xml:space="preserve">패턴 이름</w:t>
            </w:r>
          </w:p>
        </w:tc>
        <w:tc>
          <w:tcPr>
            <w:tcW w:type="dxa" w:w="3500"/>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 xml:space="preserve">핵심 문항(모두 충족)</w:t>
            </w:r>
          </w:p>
        </w:tc>
        <w:tc>
          <w:tcPr>
            <w:tcW w:type="dxa" w:w="2271"/>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 xml:space="preserve">보조 문항</w:t>
            </w:r>
          </w:p>
        </w:tc>
      </w:tr>
      <w:tr>
        <w:trPr>
          <w:cantSplit/>
        </w:trPr>
        <w:tc>
          <w:tcPr>
            <w:tcW w:type="dxa" w:w="33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고통이 안전 신호로 번진 패턴</w:t>
            </w:r>
          </w:p>
        </w:tc>
        <w:tc>
          <w:tcPr>
            <w:tcW w:type="dxa" w:w="35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6번 2점 이상 · 7번 1점 이상</w:t>
            </w:r>
          </w:p>
        </w:tc>
        <w:tc>
          <w:tcPr>
            <w:tcW w:type="dxa" w:w="227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8 · 23번</w:t>
            </w:r>
          </w:p>
        </w:tc>
      </w:tr>
      <w:tr>
        <w:trPr>
          <w:cantSplit/>
        </w:trPr>
        <w:tc>
          <w:tcPr>
            <w:tcW w:type="dxa" w:w="33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혼자 버티는 고통 패턴</w:t>
            </w:r>
          </w:p>
        </w:tc>
        <w:tc>
          <w:tcPr>
            <w:tcW w:type="dxa" w:w="35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6번 2점 이상 · 23번 2점 이상</w:t>
            </w:r>
          </w:p>
        </w:tc>
        <w:tc>
          <w:tcPr>
            <w:tcW w:type="dxa" w:w="227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22 · 24번</w:t>
            </w:r>
          </w:p>
        </w:tc>
      </w:tr>
      <w:tr>
        <w:trPr>
          <w:cantSplit/>
        </w:trPr>
        <w:tc>
          <w:tcPr>
            <w:tcW w:type="dxa" w:w="33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돌봄 소진 패턴</w:t>
            </w:r>
          </w:p>
        </w:tc>
        <w:tc>
          <w:tcPr>
            <w:tcW w:type="dxa" w:w="35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6번 2점 이상 · 18번 2점 이상</w:t>
            </w:r>
          </w:p>
        </w:tc>
        <w:tc>
          <w:tcPr>
            <w:tcW w:type="dxa" w:w="227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17 · 8번</w:t>
            </w:r>
          </w:p>
        </w:tc>
      </w:tr>
      <w:tr>
        <w:trPr>
          <w:cantSplit/>
        </w:trPr>
        <w:tc>
          <w:tcPr>
            <w:tcW w:type="dxa" w:w="33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밤 시간 버티기 패턴</w:t>
            </w:r>
          </w:p>
        </w:tc>
        <w:tc>
          <w:tcPr>
            <w:tcW w:type="dxa" w:w="35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24번 2점 이상 · 8번 2점 이상</w:t>
            </w:r>
          </w:p>
        </w:tc>
        <w:tc>
          <w:tcPr>
            <w:tcW w:type="dxa" w:w="227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6 · 9번</w:t>
            </w:r>
          </w:p>
        </w:tc>
      </w:tr>
      <w:tr>
        <w:trPr>
          <w:cantSplit/>
        </w:trPr>
        <w:tc>
          <w:tcPr>
            <w:tcW w:type="dxa" w:w="33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피해 후 위축 패턴</w:t>
            </w:r>
          </w:p>
        </w:tc>
        <w:tc>
          <w:tcPr>
            <w:tcW w:type="dxa" w:w="35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3번 2점 이상 · 6번 2점 이상</w:t>
            </w:r>
          </w:p>
        </w:tc>
        <w:tc>
          <w:tcPr>
            <w:tcW w:type="dxa" w:w="227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22 · 23번</w:t>
            </w:r>
          </w:p>
        </w:tc>
      </w:tr>
      <w:tr>
        <w:trPr>
          <w:cantSplit/>
        </w:trPr>
        <w:tc>
          <w:tcPr>
            <w:tcW w:type="dxa" w:w="33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피해로 인한 등교 회피 패턴</w:t>
            </w:r>
          </w:p>
        </w:tc>
        <w:tc>
          <w:tcPr>
            <w:tcW w:type="dxa" w:w="35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3번 2점 이상 · 9번 2점 이상</w:t>
            </w:r>
          </w:p>
        </w:tc>
        <w:tc>
          <w:tcPr>
            <w:tcW w:type="dxa" w:w="227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11번</w:t>
            </w:r>
          </w:p>
        </w:tc>
      </w:tr>
      <w:tr>
        <w:trPr>
          <w:cantSplit/>
        </w:trPr>
        <w:tc>
          <w:tcPr>
            <w:tcW w:type="dxa" w:w="33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강요 속 등교 회피 패턴</w:t>
            </w:r>
          </w:p>
        </w:tc>
        <w:tc>
          <w:tcPr>
            <w:tcW w:type="dxa" w:w="35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4번 2점 이상 · 9번 2점 이상</w:t>
            </w:r>
          </w:p>
        </w:tc>
        <w:tc>
          <w:tcPr>
            <w:tcW w:type="dxa" w:w="227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3 · 25번</w:t>
            </w:r>
          </w:p>
        </w:tc>
      </w:tr>
      <w:tr>
        <w:trPr>
          <w:cantSplit/>
        </w:trPr>
        <w:tc>
          <w:tcPr>
            <w:tcW w:type="dxa" w:w="33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온·오프라인 연결 피해 패턴</w:t>
            </w:r>
          </w:p>
        </w:tc>
        <w:tc>
          <w:tcPr>
            <w:tcW w:type="dxa" w:w="35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25번 1점 이상 · 3번 2점 이상</w:t>
            </w:r>
          </w:p>
        </w:tc>
        <w:tc>
          <w:tcPr>
            <w:tcW w:type="dxa" w:w="227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4 · 24번</w:t>
            </w:r>
          </w:p>
        </w:tc>
      </w:tr>
      <w:tr>
        <w:trPr>
          <w:cantSplit/>
        </w:trPr>
        <w:tc>
          <w:tcPr>
            <w:tcW w:type="dxa" w:w="33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피해와 가해가 함께 있는 패턴</w:t>
            </w:r>
          </w:p>
        </w:tc>
        <w:tc>
          <w:tcPr>
            <w:tcW w:type="dxa" w:w="35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3번 2점 이상 · 5번 2점 이상</w:t>
            </w:r>
          </w:p>
        </w:tc>
        <w:tc>
          <w:tcPr>
            <w:tcW w:type="dxa" w:w="227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12 · 17번</w:t>
            </w:r>
          </w:p>
        </w:tc>
      </w:tr>
      <w:tr>
        <w:trPr>
          <w:cantSplit/>
        </w:trPr>
        <w:tc>
          <w:tcPr>
            <w:tcW w:type="dxa" w:w="33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돌봄 부담–학교 이탈 패턴</w:t>
            </w:r>
          </w:p>
        </w:tc>
        <w:tc>
          <w:tcPr>
            <w:tcW w:type="dxa" w:w="35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18번 2점 이상 · 9번 2점 이상</w:t>
            </w:r>
          </w:p>
        </w:tc>
        <w:tc>
          <w:tcPr>
            <w:tcW w:type="dxa" w:w="227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16 · 17 · 11번</w:t>
            </w:r>
          </w:p>
        </w:tc>
      </w:tr>
      <w:tr>
        <w:trPr>
          <w:cantSplit/>
        </w:trPr>
        <w:tc>
          <w:tcPr>
            <w:tcW w:type="dxa" w:w="33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가정 긴장–출결 흔들림 패턴</w:t>
            </w:r>
          </w:p>
        </w:tc>
        <w:tc>
          <w:tcPr>
            <w:tcW w:type="dxa" w:w="35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17번 2점 이상 · 9번 2점 이상</w:t>
            </w:r>
          </w:p>
        </w:tc>
        <w:tc>
          <w:tcPr>
            <w:tcW w:type="dxa" w:w="227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16 · 11번</w:t>
            </w:r>
          </w:p>
        </w:tc>
      </w:tr>
      <w:tr>
        <w:trPr>
          <w:cantSplit/>
        </w:trPr>
        <w:tc>
          <w:tcPr>
            <w:tcW w:type="dxa" w:w="33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기본생활 결핍–참여 제약 패턴</w:t>
            </w:r>
          </w:p>
        </w:tc>
        <w:tc>
          <w:tcPr>
            <w:tcW w:type="dxa" w:w="35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19번 2점 이상 · 9번 2점 이상</w:t>
            </w:r>
          </w:p>
        </w:tc>
        <w:tc>
          <w:tcPr>
            <w:tcW w:type="dxa" w:w="227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20 · 16 · 21번</w:t>
            </w:r>
          </w:p>
        </w:tc>
      </w:tr>
      <w:tr>
        <w:trPr>
          <w:cantSplit/>
        </w:trPr>
        <w:tc>
          <w:tcPr>
            <w:tcW w:type="dxa" w:w="33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주거 불안–생활 리듬 붕괴 패턴</w:t>
            </w:r>
          </w:p>
        </w:tc>
        <w:tc>
          <w:tcPr>
            <w:tcW w:type="dxa" w:w="35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20번 2점 이상 · 9번 2점 이상</w:t>
            </w:r>
          </w:p>
        </w:tc>
        <w:tc>
          <w:tcPr>
            <w:tcW w:type="dxa" w:w="227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8 · 10번</w:t>
            </w:r>
          </w:p>
        </w:tc>
      </w:tr>
      <w:tr>
        <w:trPr>
          <w:cantSplit/>
        </w:trPr>
        <w:tc>
          <w:tcPr>
            <w:tcW w:type="dxa" w:w="33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돌봄 공백 패턴</w:t>
            </w:r>
          </w:p>
        </w:tc>
        <w:tc>
          <w:tcPr>
            <w:tcW w:type="dxa" w:w="35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16번 2점 이상 · 17번 2점 이상</w:t>
            </w:r>
          </w:p>
        </w:tc>
        <w:tc>
          <w:tcPr>
            <w:tcW w:type="dxa" w:w="227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2 · 19번</w:t>
            </w:r>
          </w:p>
        </w:tc>
      </w:tr>
      <w:tr>
        <w:trPr>
          <w:cantSplit/>
        </w:trPr>
        <w:tc>
          <w:tcPr>
            <w:tcW w:type="dxa" w:w="33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가족 역할 대행 패턴</w:t>
            </w:r>
          </w:p>
        </w:tc>
        <w:tc>
          <w:tcPr>
            <w:tcW w:type="dxa" w:w="35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17번 2점 이상 · 18번 2점 이상</w:t>
            </w:r>
          </w:p>
        </w:tc>
        <w:tc>
          <w:tcPr>
            <w:tcW w:type="dxa" w:w="227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16 · 6번</w:t>
            </w:r>
          </w:p>
        </w:tc>
      </w:tr>
      <w:tr>
        <w:trPr>
          <w:cantSplit/>
        </w:trPr>
        <w:tc>
          <w:tcPr>
            <w:tcW w:type="dxa" w:w="33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빈곤–지원 이용 장벽 패턴</w:t>
            </w:r>
          </w:p>
        </w:tc>
        <w:tc>
          <w:tcPr>
            <w:tcW w:type="dxa" w:w="35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19번 2점 이상 · 21번 2점 이상</w:t>
            </w:r>
          </w:p>
        </w:tc>
        <w:tc>
          <w:tcPr>
            <w:tcW w:type="dxa" w:w="227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15번</w:t>
            </w:r>
          </w:p>
        </w:tc>
      </w:tr>
      <w:tr>
        <w:trPr>
          <w:cantSplit/>
        </w:trPr>
        <w:tc>
          <w:tcPr>
            <w:tcW w:type="dxa" w:w="33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학습 접근성 장벽 패턴</w:t>
            </w:r>
          </w:p>
        </w:tc>
        <w:tc>
          <w:tcPr>
            <w:tcW w:type="dxa" w:w="35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10번 2점 이상 · 14번 2점 이상</w:t>
            </w:r>
          </w:p>
        </w:tc>
        <w:tc>
          <w:tcPr>
            <w:tcW w:type="dxa" w:w="227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15번</w:t>
            </w:r>
          </w:p>
        </w:tc>
      </w:tr>
      <w:tr>
        <w:trPr>
          <w:cantSplit/>
        </w:trPr>
        <w:tc>
          <w:tcPr>
            <w:tcW w:type="dxa" w:w="33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학습 좌절–소속감 상실 패턴</w:t>
            </w:r>
          </w:p>
        </w:tc>
        <w:tc>
          <w:tcPr>
            <w:tcW w:type="dxa" w:w="35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10번 2점 이상 · 11번 2점 이상</w:t>
            </w:r>
          </w:p>
        </w:tc>
        <w:tc>
          <w:tcPr>
            <w:tcW w:type="dxa" w:w="227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9번</w:t>
            </w:r>
          </w:p>
        </w:tc>
      </w:tr>
      <w:tr>
        <w:trPr>
          <w:cantSplit/>
        </w:trPr>
        <w:tc>
          <w:tcPr>
            <w:tcW w:type="dxa" w:w="33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학교 이탈 진행 패턴</w:t>
            </w:r>
          </w:p>
        </w:tc>
        <w:tc>
          <w:tcPr>
            <w:tcW w:type="dxa" w:w="35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9번 2점 이상 · 11번 2점 이상</w:t>
            </w:r>
          </w:p>
        </w:tc>
        <w:tc>
          <w:tcPr>
            <w:tcW w:type="dxa" w:w="227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10 · 22번</w:t>
            </w:r>
          </w:p>
        </w:tc>
      </w:tr>
      <w:tr>
        <w:trPr>
          <w:cantSplit/>
        </w:trPr>
        <w:tc>
          <w:tcPr>
            <w:tcW w:type="dxa" w:w="33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가정 긴장의 행동 표출 패턴</w:t>
            </w:r>
          </w:p>
        </w:tc>
        <w:tc>
          <w:tcPr>
            <w:tcW w:type="dxa" w:w="35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17번 2점 이상 · 12번 2점 이상</w:t>
            </w:r>
          </w:p>
        </w:tc>
        <w:tc>
          <w:tcPr>
            <w:tcW w:type="dxa" w:w="227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5 · 13번</w:t>
            </w:r>
          </w:p>
        </w:tc>
      </w:tr>
      <w:tr>
        <w:trPr>
          <w:cantSplit/>
        </w:trPr>
        <w:tc>
          <w:tcPr>
            <w:tcW w:type="dxa" w:w="33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위험행동 군집 패턴</w:t>
            </w:r>
          </w:p>
        </w:tc>
        <w:tc>
          <w:tcPr>
            <w:tcW w:type="dxa" w:w="35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12번 2점 이상 · 13번 2점 이상</w:t>
            </w:r>
          </w:p>
        </w:tc>
        <w:tc>
          <w:tcPr>
            <w:tcW w:type="dxa" w:w="227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5 · 24번</w:t>
            </w:r>
          </w:p>
        </w:tc>
      </w:tr>
      <w:tr>
        <w:trPr>
          <w:cantSplit/>
        </w:trPr>
        <w:tc>
          <w:tcPr>
            <w:tcW w:type="dxa" w:w="33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관계 단절 패턴</w:t>
            </w:r>
          </w:p>
        </w:tc>
        <w:tc>
          <w:tcPr>
            <w:tcW w:type="dxa" w:w="35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22번 2점 이상 · 23번 2점 이상</w:t>
            </w:r>
          </w:p>
        </w:tc>
        <w:tc>
          <w:tcPr>
            <w:tcW w:type="dxa" w:w="227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24 · 6번</w:t>
            </w:r>
          </w:p>
        </w:tc>
      </w:tr>
      <w:tr>
        <w:trPr>
          <w:cantSplit/>
        </w:trPr>
        <w:tc>
          <w:tcPr>
            <w:tcW w:type="dxa" w:w="3300"/>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보호 위기–학교 참여 흔들림 패턴</w:t>
            </w:r>
          </w:p>
        </w:tc>
        <w:tc>
          <w:tcPr>
            <w:tcW w:type="dxa" w:w="3500"/>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1번 1점 이상 · 9번 2점 이상</w:t>
            </w:r>
          </w:p>
        </w:tc>
        <w:tc>
          <w:tcPr>
            <w:tcW w:type="dxa" w:w="2271"/>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2 · 11번</w:t>
            </w:r>
          </w:p>
        </w:tc>
      </w:tr>
    </w:tbl>
    <w:p>
      <w:pPr>
        <w:pStyle w:val="ArticleH1"/>
      </w:pPr>
      <w:r>
        <w:rPr>
          <w:rFonts w:ascii="NanumMyeongjo" w:hAnsi="NanumMyeongjo" w:eastAsia="NanumMyeongjo" w:cs="NanumMyeongjo"/>
          <w:b w:val="0"/>
          <w:i w:val="0"/>
          <w:lang w:val="ko-KR" w:eastAsia="ko-KR"/>
        </w:rPr>
        <w:t>8. 핵심 성과경로: 지역자원 연동</w:t>
      </w:r>
    </w:p>
    <w:p>
      <w:pPr>
        <w:keepNext/>
        <w:jc w:val="center"/>
      </w:pPr>
      <w:r>
        <w:drawing>
          <wp:inline xmlns:a="http://schemas.openxmlformats.org/drawingml/2006/main" xmlns:pic="http://schemas.openxmlformats.org/drawingml/2006/picture">
            <wp:extent cx="5652000" cy="3261851"/>
            <wp:docPr id="4" name="Picture 4"/>
            <wp:cNvGraphicFramePr>
              <a:graphicFrameLocks noChangeAspect="1"/>
            </wp:cNvGraphicFramePr>
            <a:graphic>
              <a:graphicData uri="http://schemas.openxmlformats.org/drawingml/2006/picture">
                <pic:pic>
                  <pic:nvPicPr>
                    <pic:cNvPr id="0" name="diagram_4.png"/>
                    <pic:cNvPicPr/>
                  </pic:nvPicPr>
                  <pic:blipFill>
                    <a:blip r:embed="rId14"/>
                    <a:stretch>
                      <a:fillRect/>
                    </a:stretch>
                  </pic:blipFill>
                  <pic:spPr>
                    <a:xfrm>
                      <a:off x="0" y="0"/>
                      <a:ext cx="5652000" cy="3261851"/>
                    </a:xfrm>
                    <a:prstGeom prst="rect"/>
                  </pic:spPr>
                </pic:pic>
              </a:graphicData>
            </a:graphic>
          </wp:inline>
        </w:drawing>
      </w:r>
    </w:p>
    <w:p>
      <w:pPr>
        <w:pStyle w:val="ArticleCaption"/>
      </w:pPr>
      <w:r>
        <w:rPr>
          <w:rFonts w:ascii="NanumMyeongjo" w:hAnsi="NanumMyeongjo" w:eastAsia="NanumMyeongjo" w:cs="NanumMyeongjo"/>
          <w:b w:val="0"/>
          <w:i w:val="0"/>
          <w:lang w:val="ko-KR" w:eastAsia="ko-KR"/>
        </w:rPr>
        <w:t xml:space="preserve">〈그림 6〉 지역자원 정보의 계층 구조 (개발자 작성 모형)</w:t>
      </w:r>
    </w:p>
    <w:p>
      <w:pPr>
        <w:pStyle w:val="ArticleCaption"/>
      </w:pPr>
      <w:r>
        <w:rPr>
          <w:rFonts w:ascii="NanumMyeongjo" w:hAnsi="NanumMyeongjo" w:eastAsia="NanumMyeongjo" w:cs="NanumMyeongjo"/>
          <w:b w:val="0"/>
          <w:i w:val="0"/>
          <w:lang w:val="ko-KR" w:eastAsia="ko-KR"/>
        </w:rPr>
        <w:t xml:space="preserve">주. 기관 디렉터리·개별 서비스·공고 회차·접수창구·의뢰 추적을 분리한 자원정보 모델.</w:t>
      </w:r>
    </w:p>
    <w:p>
      <w:pPr>
        <w:pStyle w:val="ArticleBody"/>
        <w:jc w:val="both"/>
      </w:pPr>
      <w:r>
        <w:rPr>
          <w:rFonts w:ascii="NanumMyeongjo" w:hAnsi="NanumMyeongjo" w:eastAsia="NanumMyeongjo" w:cs="NanumMyeongjo"/>
          <w:b w:val="0"/>
          <w:i w:val="0"/>
          <w:lang w:val="ko-KR" w:eastAsia="ko-KR"/>
        </w:rPr>
        <w:t>현 시스템의 핵심은 지역자원 목록을 많이 나열하는 기능이 아니라 학생의 확인된 욕구를 실제 도움이 되는 서비스에 연결하고, 문의에서 제공까지의 과정을 검증하는 데 있다. 평가로 도출된 “지원 필요”와 기관이 제공하는 “서비스”, 특정 날짜의 “모집 또는 접수”는 서로 다른 정보계층이다.</w:t>
      </w:r>
    </w:p>
    <w:p>
      <w:pPr>
        <w:pStyle w:val="ArticleBody"/>
        <w:jc w:val="both"/>
      </w:pPr>
      <w:r>
        <w:rPr>
          <w:rFonts w:ascii="NanumMyeongjo" w:hAnsi="NanumMyeongjo" w:eastAsia="NanumMyeongjo" w:cs="NanumMyeongjo"/>
          <w:b w:val="0"/>
          <w:i w:val="0"/>
          <w:lang w:val="ko-KR" w:eastAsia="ko-KR"/>
        </w:rPr>
        <w:t xml:space="preserve">운영 복지자원 데이터는 기관명 중심으로 다수 서비스를 묶고 오산시·경기도·전국 자료를 구분하며 일부 서비스별 근거·운영·회차·접수조건을 분리 관리한다. 2026년 10월 25일 점검 문서에 따르면 기관·체계 110개, 등록 서비스 220개 가운데 기존 근거상태는 확인완료 15개, 사업별 확인 필요 78개, 미확인 127개이며, 당시 세부 공식근거를 새로 대조한 서비스는 11개, 실시간 접수·잔여예산까지 확인한 서비스는 0개였다. 이 수치는 현재 접수 가능 서비스 수 또는 공식 인증 서비스 수를 뜻하지 않는다.</w:t>
      </w:r>
    </w:p>
    <w:p>
      <w:pPr>
        <w:pStyle w:val="ArticleH2"/>
      </w:pPr>
      <w:r>
        <w:rPr>
          <w:rFonts w:ascii="NanumMyeongjo" w:hAnsi="NanumMyeongjo" w:eastAsia="NanumMyeongjo" w:cs="NanumMyeongjo"/>
          <w:b w:val="0"/>
          <w:i w:val="0"/>
          <w:lang w:val="ko-KR" w:eastAsia="ko-KR"/>
        </w:rPr>
        <w:t>8.1 기관명 추천에서 서비스 단위 매칭으로</w:t>
      </w:r>
    </w:p>
    <w:p>
      <w:pPr>
        <w:pStyle w:val="ArticleTableLabel"/>
      </w:pPr>
      <w:r>
        <w:rPr>
          <w:rFonts w:ascii="NanumGothic" w:hAnsi="NanumGothic" w:eastAsia="NanumGothic" w:cs="NanumGothic"/>
          <w:b/>
          <w:sz w:val="18"/>
          <w:lang w:val="ko-KR" w:eastAsia="ko-KR"/>
        </w:rPr>
        <w:t xml:space="preserve">〈표 12〉  자원정보의 데이터 계층</w:t>
      </w:r>
    </w:p>
    <w:tbl>
      <w:tblPr>
        <w:tblW w:type="auto" w:w="0"/>
        <w:jc w:val="center"/>
        <w:tblLayout w:type="fixed"/>
        <w:tblLook w:firstColumn="1" w:firstRow="1" w:lastColumn="0" w:lastRow="0" w:noHBand="0" w:noVBand="1" w:val="04A0"/>
      </w:tblPr>
      <w:tblGrid>
        <w:gridCol w:w="1804"/>
        <w:gridCol w:w="5205"/>
        <w:gridCol w:w="2062"/>
      </w:tblGrid>
      <w:tr>
        <w:trPr>
          <w:cantSplit/>
          <w:tblHeader w:val="true"/>
        </w:trPr>
        <w:tc>
          <w:tcPr>
            <w:tcW w:type="dxa" w:w="1804"/>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데이터 계층</w:t>
            </w:r>
          </w:p>
        </w:tc>
        <w:tc>
          <w:tcPr>
            <w:tcW w:type="dxa" w:w="5205"/>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필수 항목</w:t>
            </w:r>
          </w:p>
        </w:tc>
        <w:tc>
          <w:tcPr>
            <w:tcW w:type="dxa" w:w="2062"/>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검증 상태</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기관(Organization)</w:t>
            </w:r>
          </w:p>
        </w:tc>
        <w:tc>
          <w:tcPr>
            <w:tcW w:type="dxa" w:w="520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org_id, 기관명, 지역, 주소, 홈페이지, 상태</w:t>
            </w:r>
          </w:p>
        </w:tc>
        <w:tc>
          <w:tcPr>
            <w:tcW w:type="dxa" w:w="206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폐지·변경·관할 여부 확인</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서비스(Service)</w:t>
            </w:r>
          </w:p>
        </w:tc>
        <w:tc>
          <w:tcPr>
            <w:tcW w:type="dxa" w:w="520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service_id, 욕구영역, 대상, 지원내용, 제공형태</w:t>
            </w:r>
          </w:p>
        </w:tc>
        <w:tc>
          <w:tcPr>
            <w:tcW w:type="dxa" w:w="206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공식 사업·대상·비용·서류 확인</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회차(Application)</w:t>
            </w:r>
          </w:p>
        </w:tc>
        <w:tc>
          <w:tcPr>
            <w:tcW w:type="dxa" w:w="520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접수기간, 예산, 현재 운영, 공고 URL</w:t>
            </w:r>
          </w:p>
        </w:tc>
        <w:tc>
          <w:tcPr>
            <w:tcW w:type="dxa" w:w="206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유효기간 및 공식 공고 확인</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접수창구(Contact)</w:t>
            </w:r>
          </w:p>
        </w:tc>
        <w:tc>
          <w:tcPr>
            <w:tcW w:type="dxa" w:w="520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부서, 담당역할, 전화, 방문방식, 확인일</w:t>
            </w:r>
          </w:p>
        </w:tc>
        <w:tc>
          <w:tcPr>
            <w:tcW w:type="dxa" w:w="206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직접 확인 여부 분리</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의뢰(Referral)</w:t>
            </w:r>
          </w:p>
        </w:tc>
        <w:tc>
          <w:tcPr>
            <w:tcW w:type="dxa" w:w="520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case_id, service_id, 협의일, 기관 회신</w:t>
            </w:r>
          </w:p>
        </w:tc>
        <w:tc>
          <w:tcPr>
            <w:tcW w:type="dxa" w:w="206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문의·접수·제공 각각 기록</w:t>
            </w:r>
          </w:p>
        </w:tc>
      </w:tr>
      <w:tr>
        <w:trPr>
          <w:cantSplit/>
        </w:trPr>
        <w:tc>
          <w:tcPr>
            <w:tcW w:type="dxa" w:w="1804"/>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성과(Outcome)</w:t>
            </w:r>
          </w:p>
        </w:tc>
        <w:tc>
          <w:tcPr>
            <w:tcW w:type="dxa" w:w="5205"/>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지원 시작, 학생 체감, 생활 변화, 점검일</w:t>
            </w:r>
          </w:p>
        </w:tc>
        <w:tc>
          <w:tcPr>
            <w:tcW w:type="dxa" w:w="2062"/>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활동 실적과 변화 실적 구분</w:t>
            </w:r>
          </w:p>
        </w:tc>
      </w:tr>
    </w:tbl>
    <w:p>
      <w:pPr>
        <w:pStyle w:val="ArticleH2"/>
      </w:pPr>
      <w:r>
        <w:rPr>
          <w:rFonts w:ascii="NanumMyeongjo" w:hAnsi="NanumMyeongjo" w:eastAsia="NanumMyeongjo" w:cs="NanumMyeongjo"/>
          <w:b w:val="0"/>
          <w:i w:val="0"/>
          <w:lang w:val="ko-KR" w:eastAsia="ko-KR"/>
        </w:rPr>
        <w:t>8.2 자원 매칭의 순서</w:t>
      </w:r>
    </w:p>
    <w:p>
      <w:pPr>
        <w:pStyle w:val="ArticleSmall"/>
      </w:pPr>
      <w:r>
        <w:rPr>
          <w:rFonts w:ascii="NanumMyeongjo" w:hAnsi="NanumMyeongjo" w:eastAsia="NanumMyeongjo" w:cs="NanumMyeongjo"/>
          <w:b/>
          <w:i w:val="0"/>
          <w:lang w:val="ko-KR" w:eastAsia="ko-KR"/>
        </w:rPr>
        <w:t>01</w:t>
      </w:r>
      <w:r>
        <w:rPr>
          <w:rFonts w:ascii="NanumMyeongjo" w:hAnsi="NanumMyeongjo" w:eastAsia="NanumMyeongjo" w:cs="NanumMyeongjo"/>
          <w:b w:val="0"/>
          <w:i w:val="0"/>
          <w:lang w:val="ko-KR" w:eastAsia="ko-KR"/>
        </w:rPr>
        <w:t xml:space="preserve"> 안전·보호상의 필수 대응인지부터 판단한다. 신고의무·응급조치는 모집 정보보다 우선한다.</w:t>
      </w:r>
    </w:p>
    <w:p>
      <w:pPr>
        <w:pStyle w:val="ArticleSmall"/>
      </w:pPr>
      <w:r>
        <w:rPr>
          <w:rFonts w:ascii="NanumMyeongjo" w:hAnsi="NanumMyeongjo" w:eastAsia="NanumMyeongjo" w:cs="NanumMyeongjo"/>
          <w:b/>
          <w:i w:val="0"/>
          <w:lang w:val="ko-KR" w:eastAsia="ko-KR"/>
        </w:rPr>
        <w:t>02</w:t>
      </w:r>
      <w:r>
        <w:rPr>
          <w:rFonts w:ascii="NanumMyeongjo" w:hAnsi="NanumMyeongjo" w:eastAsia="NanumMyeongjo" w:cs="NanumMyeongjo"/>
          <w:b w:val="0"/>
          <w:i w:val="0"/>
          <w:lang w:val="ko-KR" w:eastAsia="ko-KR"/>
        </w:rPr>
        <w:t xml:space="preserve"> 확인된 문항(Q번호)과 학생이 동의한 필요·희망·강점을 연결한다.</w:t>
      </w:r>
    </w:p>
    <w:p>
      <w:pPr>
        <w:pStyle w:val="ArticleSmall"/>
      </w:pPr>
      <w:r>
        <w:rPr>
          <w:rFonts w:ascii="NanumMyeongjo" w:hAnsi="NanumMyeongjo" w:eastAsia="NanumMyeongjo" w:cs="NanumMyeongjo"/>
          <w:b/>
          <w:i w:val="0"/>
          <w:lang w:val="ko-KR" w:eastAsia="ko-KR"/>
        </w:rPr>
        <w:t>03</w:t>
      </w:r>
      <w:r>
        <w:rPr>
          <w:rFonts w:ascii="NanumMyeongjo" w:hAnsi="NanumMyeongjo" w:eastAsia="NanumMyeongjo" w:cs="NanumMyeongjo"/>
          <w:b w:val="0"/>
          <w:i w:val="0"/>
          <w:lang w:val="ko-KR" w:eastAsia="ko-KR"/>
        </w:rPr>
        <w:t xml:space="preserve"> 동일 욕구를 해결하는 서비스 후보를 1차 추출한다. 이미 이용 중인 기관이 있으면 중복지원·책임분담을 확인한다.</w:t>
      </w:r>
    </w:p>
    <w:p>
      <w:pPr>
        <w:pStyle w:val="ArticleSmall"/>
      </w:pPr>
      <w:r>
        <w:rPr>
          <w:rFonts w:ascii="NanumMyeongjo" w:hAnsi="NanumMyeongjo" w:eastAsia="NanumMyeongjo" w:cs="NanumMyeongjo"/>
          <w:b/>
          <w:i w:val="0"/>
          <w:lang w:val="ko-KR" w:eastAsia="ko-KR"/>
        </w:rPr>
        <w:t>04</w:t>
      </w:r>
      <w:r>
        <w:rPr>
          <w:rFonts w:ascii="NanumMyeongjo" w:hAnsi="NanumMyeongjo" w:eastAsia="NanumMyeongjo" w:cs="NanumMyeongjo"/>
          <w:b w:val="0"/>
          <w:i w:val="0"/>
          <w:lang w:val="ko-KR" w:eastAsia="ko-KR"/>
        </w:rPr>
        <w:t xml:space="preserve"> 거주 관할, 연령·재학·소득·장애 특성 등 공식 지원조건과 충돌하는지 검토한다.</w:t>
      </w:r>
    </w:p>
    <w:p>
      <w:pPr>
        <w:pStyle w:val="ArticleSmall"/>
      </w:pPr>
      <w:r>
        <w:rPr>
          <w:rFonts w:ascii="NanumMyeongjo" w:hAnsi="NanumMyeongjo" w:eastAsia="NanumMyeongjo" w:cs="NanumMyeongjo"/>
          <w:b/>
          <w:i w:val="0"/>
          <w:lang w:val="ko-KR" w:eastAsia="ko-KR"/>
        </w:rPr>
        <w:t>05</w:t>
      </w:r>
      <w:r>
        <w:rPr>
          <w:rFonts w:ascii="NanumMyeongjo" w:hAnsi="NanumMyeongjo" w:eastAsia="NanumMyeongjo" w:cs="NanumMyeongjo"/>
          <w:b w:val="0"/>
          <w:i w:val="0"/>
          <w:lang w:val="ko-KR" w:eastAsia="ko-KR"/>
        </w:rPr>
        <w:t xml:space="preserve"> 모집중·상시·대기·기간 종료·미확인의 상태와 검증일·근거 URL을 확인한다.</w:t>
      </w:r>
    </w:p>
    <w:p>
      <w:pPr>
        <w:pStyle w:val="ArticleSmall"/>
      </w:pPr>
      <w:r>
        <w:rPr>
          <w:rFonts w:ascii="NanumMyeongjo" w:hAnsi="NanumMyeongjo" w:eastAsia="NanumMyeongjo" w:cs="NanumMyeongjo"/>
          <w:b/>
          <w:i w:val="0"/>
          <w:lang w:val="ko-KR" w:eastAsia="ko-KR"/>
        </w:rPr>
        <w:t>06</w:t>
      </w:r>
      <w:r>
        <w:rPr>
          <w:rFonts w:ascii="NanumMyeongjo" w:hAnsi="NanumMyeongjo" w:eastAsia="NanumMyeongjo" w:cs="NanumMyeongjo"/>
          <w:b w:val="0"/>
          <w:i w:val="0"/>
          <w:lang w:val="ko-KR" w:eastAsia="ko-KR"/>
        </w:rPr>
        <w:t xml:space="preserve"> 담당 창구에 개인정보 최소화 방식으로 문의해 접수 가능성과 대체 경로를 검증한다.</w:t>
      </w:r>
    </w:p>
    <w:p>
      <w:pPr>
        <w:pStyle w:val="ArticleSmall"/>
      </w:pPr>
      <w:r>
        <w:rPr>
          <w:rFonts w:ascii="NanumMyeongjo" w:hAnsi="NanumMyeongjo" w:eastAsia="NanumMyeongjo" w:cs="NanumMyeongjo"/>
          <w:b/>
          <w:i w:val="0"/>
          <w:lang w:val="ko-KR" w:eastAsia="ko-KR"/>
        </w:rPr>
        <w:t>07</w:t>
      </w:r>
      <w:r>
        <w:rPr>
          <w:rFonts w:ascii="NanumMyeongjo" w:hAnsi="NanumMyeongjo" w:eastAsia="NanumMyeongjo" w:cs="NanumMyeongjo"/>
          <w:b w:val="0"/>
          <w:i w:val="0"/>
          <w:lang w:val="ko-KR" w:eastAsia="ko-KR"/>
        </w:rPr>
        <w:t xml:space="preserve"> 학생·보호자의 적절한 참여, 연락 안전성 및 정보공유 법적 근거를 검토한 뒤 의뢰한다.</w:t>
      </w:r>
    </w:p>
    <w:p>
      <w:pPr>
        <w:pStyle w:val="ArticleSmall"/>
      </w:pPr>
      <w:r>
        <w:rPr>
          <w:rFonts w:ascii="NanumMyeongjo" w:hAnsi="NanumMyeongjo" w:eastAsia="NanumMyeongjo" w:cs="NanumMyeongjo"/>
          <w:b/>
          <w:i w:val="0"/>
          <w:lang w:val="ko-KR" w:eastAsia="ko-KR"/>
        </w:rPr>
        <w:t>08</w:t>
      </w:r>
      <w:r>
        <w:rPr>
          <w:rFonts w:ascii="NanumMyeongjo" w:hAnsi="NanumMyeongjo" w:eastAsia="NanumMyeongjo" w:cs="NanumMyeongjo"/>
          <w:b w:val="0"/>
          <w:i w:val="0"/>
          <w:lang w:val="ko-KR" w:eastAsia="ko-KR"/>
        </w:rPr>
        <w:t xml:space="preserve"> 접수·승인·제공·실제 변화를 각각 후속 기록하여 미제공 시 대체자원으로 재연결한다.</w:t>
      </w:r>
    </w:p>
    <w:p>
      <w:pPr>
        <w:pStyle w:val="ArticleH2"/>
      </w:pPr>
      <w:r>
        <w:rPr>
          <w:rFonts w:ascii="NanumMyeongjo" w:hAnsi="NanumMyeongjo" w:eastAsia="NanumMyeongjo" w:cs="NanumMyeongjo"/>
          <w:b w:val="0"/>
          <w:i w:val="0"/>
          <w:lang w:val="ko-KR" w:eastAsia="ko-KR"/>
        </w:rPr>
        <w:t>8.3 자원 적합성 검토를 위한 근거 수준</w:t>
      </w:r>
    </w:p>
    <w:p>
      <w:pPr>
        <w:pStyle w:val="ArticleTableLabel"/>
      </w:pPr>
      <w:r>
        <w:rPr>
          <w:rFonts w:ascii="NanumGothic" w:hAnsi="NanumGothic" w:eastAsia="NanumGothic" w:cs="NanumGothic"/>
          <w:b/>
          <w:sz w:val="18"/>
          <w:lang w:val="ko-KR" w:eastAsia="ko-KR"/>
        </w:rPr>
        <w:t xml:space="preserve">〈표 13〉  자원 적합성 근거 수준(제안)</w:t>
      </w:r>
    </w:p>
    <w:tbl>
      <w:tblPr>
        <w:tblW w:type="auto" w:w="0"/>
        <w:jc w:val="center"/>
        <w:tblLayout w:type="fixed"/>
        <w:tblLook w:firstColumn="1" w:firstRow="1" w:lastColumn="0" w:lastRow="0" w:noHBand="0" w:noVBand="1" w:val="04A0"/>
      </w:tblPr>
      <w:tblGrid>
        <w:gridCol w:w="1804"/>
        <w:gridCol w:w="3144"/>
        <w:gridCol w:w="4123"/>
      </w:tblGrid>
      <w:tr>
        <w:trPr>
          <w:cantSplit/>
          <w:tblHeader w:val="true"/>
        </w:trPr>
        <w:tc>
          <w:tcPr>
            <w:tcW w:type="dxa" w:w="1804"/>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표시</w:t>
            </w:r>
          </w:p>
        </w:tc>
        <w:tc>
          <w:tcPr>
            <w:tcW w:type="dxa" w:w="3144"/>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뜻</w:t>
            </w:r>
          </w:p>
        </w:tc>
        <w:tc>
          <w:tcPr>
            <w:tcW w:type="dxa" w:w="4123"/>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UI/출력 표현</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A. 공식자료 확인</w:t>
            </w:r>
          </w:p>
        </w:tc>
        <w:tc>
          <w:tcPr>
            <w:tcW w:type="dxa" w:w="314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서비스의 존재·대상 일부 공적 근거 확인</w:t>
            </w:r>
          </w:p>
        </w:tc>
        <w:tc>
          <w:tcPr>
            <w:tcW w:type="dxa" w:w="4123"/>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서비스 설명 확인, 접수는 별도 문의</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B. 사업회차 확인</w:t>
            </w:r>
          </w:p>
        </w:tc>
        <w:tc>
          <w:tcPr>
            <w:tcW w:type="dxa" w:w="314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공고 시점·기한 정보 확인</w:t>
            </w:r>
          </w:p>
        </w:tc>
        <w:tc>
          <w:tcPr>
            <w:tcW w:type="dxa" w:w="4123"/>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공고상 모집 표기와 유효기한</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C. 기관 직접 확인</w:t>
            </w:r>
          </w:p>
        </w:tc>
        <w:tc>
          <w:tcPr>
            <w:tcW w:type="dxa" w:w="314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담당창구가 현재 접수 가능 여부 답변</w:t>
            </w:r>
          </w:p>
        </w:tc>
        <w:tc>
          <w:tcPr>
            <w:tcW w:type="dxa" w:w="4123"/>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확인일·직무·범위·회신기록</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D. 실제 제공 확인</w:t>
            </w:r>
          </w:p>
        </w:tc>
        <w:tc>
          <w:tcPr>
            <w:tcW w:type="dxa" w:w="314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학생이 실제 이용·지원받은 기록 확보</w:t>
            </w:r>
          </w:p>
        </w:tc>
        <w:tc>
          <w:tcPr>
            <w:tcW w:type="dxa" w:w="4123"/>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제공일·서비스·제공범위·학생 체감</w:t>
            </w:r>
          </w:p>
        </w:tc>
      </w:tr>
      <w:tr>
        <w:trPr>
          <w:cantSplit/>
        </w:trPr>
        <w:tc>
          <w:tcPr>
            <w:tcW w:type="dxa" w:w="1804"/>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U. 미확인</w:t>
            </w:r>
          </w:p>
        </w:tc>
        <w:tc>
          <w:tcPr>
            <w:tcW w:type="dxa" w:w="3144"/>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근거 부족·업데이트 시점 경과</w:t>
            </w:r>
          </w:p>
        </w:tc>
        <w:tc>
          <w:tcPr>
            <w:tcW w:type="dxa" w:w="4123"/>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문의 필요·자동 접수 가능 확정 금지</w:t>
            </w:r>
          </w:p>
        </w:tc>
      </w:tr>
    </w:tbl>
    <w:p>
      <w:pPr>
        <w:pStyle w:val="ArticleBody"/>
        <w:jc w:val="both"/>
      </w:pPr>
      <w:r>
        <w:rPr>
          <w:rFonts w:ascii="NanumMyeongjo" w:hAnsi="NanumMyeongjo" w:eastAsia="NanumMyeongjo" w:cs="NanumMyeongjo"/>
          <w:b w:val="0"/>
          <w:i w:val="0"/>
          <w:lang w:val="ko-KR" w:eastAsia="ko-KR"/>
        </w:rPr>
        <w:t xml:space="preserve">근거 수준 A~D는 보고서에서 제안하는 관리용 분류이다. 현재 자원연계 지도에는 이 중 일부가 “확인 배지”로 구현되어 있다(8.5 참조). 출처의 링크가 정상 열리는 것만으로 자격과 접수 가능성을 입증할 수 없으므로, 현장 의뢰에 사용하기 전에는 기관 공식 안내 또는 담당자 회신을 확보해야 한다.</w:t>
      </w:r>
    </w:p>
    <w:p>
      <w:pPr>
        <w:pStyle w:val="ArticleH2"/>
      </w:pPr>
      <w:r>
        <w:rPr>
          <w:rFonts w:ascii="NanumMyeongjo" w:hAnsi="NanumMyeongjo" w:eastAsia="NanumMyeongjo" w:cs="NanumMyeongjo"/>
          <w:b w:val="0"/>
          <w:i w:val="0"/>
          <w:lang w:val="ko-KR" w:eastAsia="ko-KR"/>
        </w:rPr>
        <w:t>8.4 오산 지역 연계 예시(기관군)</w:t>
      </w:r>
    </w:p>
    <w:p>
      <w:pPr>
        <w:pStyle w:val="ArticleTableLabel"/>
      </w:pPr>
      <w:r>
        <w:rPr>
          <w:rFonts w:ascii="NanumGothic" w:hAnsi="NanumGothic" w:eastAsia="NanumGothic" w:cs="NanumGothic"/>
          <w:b/>
          <w:sz w:val="18"/>
          <w:lang w:val="ko-KR" w:eastAsia="ko-KR"/>
        </w:rPr>
        <w:t xml:space="preserve">〈표 14〉  오산 지역 연계 기관군 예시</w:t>
      </w:r>
    </w:p>
    <w:tbl>
      <w:tblPr>
        <w:tblW w:type="auto" w:w="0"/>
        <w:jc w:val="center"/>
        <w:tblLayout w:type="fixed"/>
        <w:tblLook w:firstColumn="1" w:firstRow="1" w:lastColumn="0" w:lastRow="0" w:noHBand="0" w:noVBand="1" w:val="04A0"/>
      </w:tblPr>
      <w:tblGrid>
        <w:gridCol w:w="1804"/>
        <w:gridCol w:w="4432"/>
        <w:gridCol w:w="2835"/>
      </w:tblGrid>
      <w:tr>
        <w:trPr>
          <w:cantSplit/>
          <w:tblHeader w:val="true"/>
        </w:trPr>
        <w:tc>
          <w:tcPr>
            <w:tcW w:type="dxa" w:w="1804"/>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주요 어려움</w:t>
            </w:r>
          </w:p>
        </w:tc>
        <w:tc>
          <w:tcPr>
            <w:tcW w:type="dxa" w:w="4432"/>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1차 문의·검토 기관군</w:t>
            </w:r>
          </w:p>
        </w:tc>
        <w:tc>
          <w:tcPr>
            <w:tcW w:type="dxa" w:w="2835"/>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검증할 항목</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학대·즉각 위해</w:t>
            </w:r>
          </w:p>
        </w:tc>
        <w:tc>
          <w:tcPr>
            <w:tcW w:type="dxa" w:w="443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112·119 등 사안별 긴급절차 / 아동보호 체계</w:t>
            </w:r>
          </w:p>
        </w:tc>
        <w:tc>
          <w:tcPr>
            <w:tcW w:type="dxa" w:w="283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신고·현재 안전·접촉 위험</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정서·자해 관련</w:t>
            </w:r>
          </w:p>
        </w:tc>
        <w:tc>
          <w:tcPr>
            <w:tcW w:type="dxa" w:w="443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Wee클래스·Wee센터 / 청소년상담복지센터 / 필요 의료</w:t>
            </w:r>
          </w:p>
        </w:tc>
        <w:tc>
          <w:tcPr>
            <w:tcW w:type="dxa" w:w="283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현재 안전, 긴급수용, 상담대기</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학습·학교참여</w:t>
            </w:r>
          </w:p>
        </w:tc>
        <w:tc>
          <w:tcPr>
            <w:tcW w:type="dxa" w:w="443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학교 내 지원팀·교육복지 / 교육지원청</w:t>
            </w:r>
          </w:p>
        </w:tc>
        <w:tc>
          <w:tcPr>
            <w:tcW w:type="dxa" w:w="283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학교 조정·학맞통 협의 경로</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돌봄·가족·기본생활</w:t>
            </w:r>
          </w:p>
        </w:tc>
        <w:tc>
          <w:tcPr>
            <w:tcW w:type="dxa" w:w="443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관할 동 행정복지센터 / 복지관 / 가족센터</w:t>
            </w:r>
          </w:p>
        </w:tc>
        <w:tc>
          <w:tcPr>
            <w:tcW w:type="dxa" w:w="283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관할·급여·돌봄 공백 시간</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장애·교육접근성</w:t>
            </w:r>
          </w:p>
        </w:tc>
        <w:tc>
          <w:tcPr>
            <w:tcW w:type="dxa" w:w="443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학교 특수교육 체계 / 장애인종합복지관</w:t>
            </w:r>
          </w:p>
        </w:tc>
        <w:tc>
          <w:tcPr>
            <w:tcW w:type="dxa" w:w="283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진단 추정 배제, 환경조정·이용기준</w:t>
            </w:r>
          </w:p>
        </w:tc>
      </w:tr>
      <w:tr>
        <w:trPr>
          <w:cantSplit/>
        </w:trPr>
        <w:tc>
          <w:tcPr>
            <w:tcW w:type="dxa" w:w="1804"/>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디지털 성적 피해</w:t>
            </w:r>
          </w:p>
        </w:tc>
        <w:tc>
          <w:tcPr>
            <w:tcW w:type="dxa" w:w="4432"/>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사안별 신고·피해지원 전문기관</w:t>
            </w:r>
          </w:p>
        </w:tc>
        <w:tc>
          <w:tcPr>
            <w:tcW w:type="dxa" w:w="2835"/>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보호·보복위험·안전한 자료 처리</w:t>
            </w:r>
          </w:p>
        </w:tc>
      </w:tr>
    </w:tbl>
    <w:p>
      <w:pPr>
        <w:pStyle w:val="ArticleH2"/>
      </w:pPr>
      <w:r>
        <w:rPr>
          <w:rFonts w:ascii="NanumMyeongjo" w:hAnsi="NanumMyeongjo" w:eastAsia="NanumMyeongjo" w:cs="NanumMyeongjo"/>
          <w:b w:val="0"/>
          <w:i w:val="0"/>
          <w:lang w:val="ko-KR" w:eastAsia="ko-KR"/>
        </w:rPr>
        <w:t xml:space="preserve">8.5 자원연계 지도의 현재 구현 상태(2026.10.26)</w:t>
      </w:r>
    </w:p>
    <w:p>
      <w:pPr>
        <w:pStyle w:val="ArticleBody"/>
        <w:jc w:val="both"/>
      </w:pPr>
      <w:r>
        <w:rPr>
          <w:rFonts w:ascii="NanumMyeongjo" w:hAnsi="NanumMyeongjo" w:eastAsia="NanumMyeongjo" w:cs="NanumMyeongjo"/>
          <w:b w:val="0"/>
          <w:i w:val="0"/>
          <w:lang w:val="ko-KR" w:eastAsia="ko-KR"/>
        </w:rPr>
        <w:t xml:space="preserve">02 지역자원 연계 화면의 지도는 평가 결과에서 지원영역을 받아 기관·사업 후보를 보여 준다. 2026년 10월 개편으로 각 후보 카드에 확인 배지, 추천 근거, 대상, 신청방법, 접수창구, 신청상태가 표시되고 나머지 정보는 접혀 있다. 사업이 존재한다는 사실과 지금 신청할 수 있다는 사실을 분리하여, 열린 접수 회차가 등록되어 있고 지역 이용이 가능할 때에만 “접수기간 중”으로 표시한다. 그 밖에는 “상시 운영 사업 · 접수 가능 여부는 문의”, “운영·접수 상태 미확인”, “미검증 · 기존 목록 자료”처럼 확인 수준을 그대로 드러낸다.</w:t>
      </w:r>
    </w:p>
    <w:p>
      <w:pPr>
        <w:pStyle w:val="ArticleBody"/>
        <w:jc w:val="both"/>
      </w:pPr>
      <w:r>
        <w:rPr>
          <w:rFonts w:ascii="NanumMyeongjo" w:hAnsi="NanumMyeongjo" w:eastAsia="NanumMyeongjo" w:cs="NanumMyeongjo"/>
          <w:b w:val="0"/>
          <w:i w:val="0"/>
          <w:lang w:val="ko-KR" w:eastAsia="ko-KR"/>
        </w:rPr>
        <w:t xml:space="preserve">추천 근거는 프로필 규칙, 추가 확인 규칙, 키워드 규칙으로 나뉘어 근거 강도와 함께 표시되고, 같은 근거 문항을 공유하는 대체 자원이 함께 제시된다. 넓은 화면에서는 학생-지원영역-기관을 잇는 연결 그림이, 휴대폰에서는 세로형 연결 그림이 먼저 나온다. 지도와 전체 자료 ZIP의 자원 목록은 같은 접수 상태 표기를 쓴다.</w:t>
      </w:r>
    </w:p>
    <w:p>
      <w:pPr>
        <w:pStyle w:val="ArticleBody"/>
        <w:jc w:val="both"/>
      </w:pPr>
      <w:r>
        <w:rPr>
          <w:rFonts w:ascii="NanumMyeongjo" w:hAnsi="NanumMyeongjo" w:eastAsia="NanumMyeongjo" w:cs="NanumMyeongjo"/>
          <w:b w:val="0"/>
          <w:i w:val="0"/>
          <w:lang w:val="ko-KR" w:eastAsia="ko-KR"/>
        </w:rPr>
        <w:t xml:space="preserve">연계 진행 기록(상태·담당·메모)은 이번 개편의 범위에서 제외되었다. 따라서 9.2의 서비스 연계 상태기계는 아직 화면에 구현되지 않은 설계 제안이다. 등록 서비스의 대부분이 “미검증” 배지로 보이는 현재 상태에서는 화면 품질이 자원 데이터베이스의 사업별 확인 작업에 좌우된다.</w:t>
      </w:r>
    </w:p>
    <w:p>
      <w:pPr>
        <w:pStyle w:val="ArticleH1"/>
      </w:pPr>
      <w:r>
        <w:rPr>
          <w:rFonts w:ascii="NanumMyeongjo" w:hAnsi="NanumMyeongjo" w:eastAsia="NanumMyeongjo" w:cs="NanumMyeongjo"/>
          <w:b w:val="0"/>
          <w:i w:val="0"/>
          <w:lang w:val="ko-KR" w:eastAsia="ko-KR"/>
        </w:rPr>
        <w:t>9. 후속 시스템화: 사례관리 수명주기</w:t>
      </w:r>
    </w:p>
    <w:p>
      <w:pPr>
        <w:keepNext/>
        <w:jc w:val="center"/>
      </w:pPr>
      <w:r>
        <w:drawing>
          <wp:inline xmlns:a="http://schemas.openxmlformats.org/drawingml/2006/main" xmlns:pic="http://schemas.openxmlformats.org/drawingml/2006/picture">
            <wp:extent cx="5652000" cy="3379952"/>
            <wp:docPr id="5" name="Picture 5"/>
            <wp:cNvGraphicFramePr>
              <a:graphicFrameLocks noChangeAspect="1"/>
            </wp:cNvGraphicFramePr>
            <a:graphic>
              <a:graphicData uri="http://schemas.openxmlformats.org/drawingml/2006/picture">
                <pic:pic>
                  <pic:nvPicPr>
                    <pic:cNvPr id="0" name="diagram_5.png"/>
                    <pic:cNvPicPr/>
                  </pic:nvPicPr>
                  <pic:blipFill>
                    <a:blip r:embed="rId15"/>
                    <a:stretch>
                      <a:fillRect/>
                    </a:stretch>
                  </pic:blipFill>
                  <pic:spPr>
                    <a:xfrm>
                      <a:off x="0" y="0"/>
                      <a:ext cx="5652000" cy="3379952"/>
                    </a:xfrm>
                    <a:prstGeom prst="rect"/>
                  </pic:spPr>
                </pic:pic>
              </a:graphicData>
            </a:graphic>
          </wp:inline>
        </w:drawing>
      </w:r>
    </w:p>
    <w:p>
      <w:pPr>
        <w:pStyle w:val="ArticleCaption"/>
      </w:pPr>
      <w:r>
        <w:rPr>
          <w:rFonts w:ascii="NanumMyeongjo" w:hAnsi="NanumMyeongjo" w:eastAsia="NanumMyeongjo" w:cs="NanumMyeongjo"/>
          <w:b w:val="0"/>
          <w:i w:val="0"/>
          <w:lang w:val="ko-KR" w:eastAsia="ko-KR"/>
        </w:rPr>
        <w:t xml:space="preserve">〈그림 7〉 사례관리 수명주기 (개발자 작성 모형)</w:t>
      </w:r>
    </w:p>
    <w:p>
      <w:pPr>
        <w:pStyle w:val="ArticleCaption"/>
      </w:pPr>
      <w:r>
        <w:rPr>
          <w:rFonts w:ascii="NanumMyeongjo" w:hAnsi="NanumMyeongjo" w:eastAsia="NanumMyeongjo" w:cs="NanumMyeongjo"/>
          <w:b w:val="0"/>
          <w:i w:val="0"/>
          <w:lang w:val="ko-KR" w:eastAsia="ko-KR"/>
        </w:rPr>
        <w:t xml:space="preserve">주. 발견·안전확인에서 종결·사후관리까지의 상태 흐름. 모든 학생이 장기 사례관리 대상은 아니다.</w:t>
      </w:r>
    </w:p>
    <w:p>
      <w:pPr>
        <w:pStyle w:val="ArticleBody"/>
        <w:jc w:val="both"/>
      </w:pPr>
      <w:r>
        <w:rPr>
          <w:rFonts w:ascii="NanumMyeongjo" w:hAnsi="NanumMyeongjo" w:eastAsia="NanumMyeongjo" w:cs="NanumMyeongjo"/>
          <w:b w:val="0"/>
          <w:i w:val="0"/>
          <w:lang w:val="ko-KR" w:eastAsia="ko-KR"/>
        </w:rPr>
        <w:t>현재 결과지를 실제 업무 시스템으로 발전시키려면 “평가 완료”가 사례 종료 상태가 되어서는 안 된다. 초기 상담에서 발견한 욕구와 지역자원 추천을 상담·협의·계획·의뢰·점검·재사정·종결로 연결해 사용자가 동일 사실을 반복 입력하지 않도록 해야 한다.</w:t>
      </w:r>
    </w:p>
    <w:p>
      <w:pPr>
        <w:pStyle w:val="ArticleBody"/>
        <w:jc w:val="both"/>
      </w:pPr>
      <w:r>
        <w:rPr>
          <w:rFonts w:ascii="NanumMyeongjo" w:hAnsi="NanumMyeongjo" w:eastAsia="NanumMyeongjo" w:cs="NanumMyeongjo"/>
          <w:b w:val="0"/>
          <w:i w:val="0"/>
          <w:lang w:val="ko-KR" w:eastAsia="ko-KR"/>
        </w:rPr>
        <w:t>권장 상태는 발견·접수 → 안전확인 → 초기상담 → 사례판정/담당지정 → 목표수립 → 연계기관 문의 → 의뢰/접수 → 지원 실제 개시 → 점검·재사정 → 종결 및 사후관리이다. 다만 모든 학생이 복지관의 장기 사례관리 대상은 아니므로 학교 자체 조정, 단회 정보제공, 외부기관 단순 연계, 통합사례관리 참여 등을 구분한다.</w:t>
      </w:r>
    </w:p>
    <w:p>
      <w:pPr>
        <w:pStyle w:val="ArticleH2"/>
      </w:pPr>
      <w:r>
        <w:rPr>
          <w:rFonts w:ascii="NanumMyeongjo" w:hAnsi="NanumMyeongjo" w:eastAsia="NanumMyeongjo" w:cs="NanumMyeongjo"/>
          <w:b w:val="0"/>
          <w:i w:val="0"/>
          <w:lang w:val="ko-KR" w:eastAsia="ko-KR"/>
        </w:rPr>
        <w:t>9.1 후속 통합사례관리의 기본 기록</w:t>
      </w:r>
    </w:p>
    <w:p>
      <w:pPr>
        <w:pStyle w:val="ArticleTableLabel"/>
      </w:pPr>
      <w:r>
        <w:rPr>
          <w:rFonts w:ascii="NanumGothic" w:hAnsi="NanumGothic" w:eastAsia="NanumGothic" w:cs="NanumGothic"/>
          <w:b/>
          <w:sz w:val="18"/>
          <w:lang w:val="ko-KR" w:eastAsia="ko-KR"/>
        </w:rPr>
        <w:t xml:space="preserve">〈표 15〉  통합사례관리 기본 기록</w:t>
      </w:r>
    </w:p>
    <w:tbl>
      <w:tblPr>
        <w:tblW w:type="auto" w:w="0"/>
        <w:jc w:val="center"/>
        <w:tblLayout w:type="fixed"/>
        <w:tblLook w:firstColumn="1" w:firstRow="1" w:lastColumn="0" w:lastRow="0" w:noHBand="0" w:noVBand="1" w:val="04A0"/>
      </w:tblPr>
      <w:tblGrid>
        <w:gridCol w:w="1804"/>
        <w:gridCol w:w="4072"/>
        <w:gridCol w:w="3195"/>
      </w:tblGrid>
      <w:tr>
        <w:trPr>
          <w:cantSplit/>
          <w:tblHeader w:val="true"/>
        </w:trPr>
        <w:tc>
          <w:tcPr>
            <w:tcW w:type="dxa" w:w="1804"/>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단계</w:t>
            </w:r>
          </w:p>
        </w:tc>
        <w:tc>
          <w:tcPr>
            <w:tcW w:type="dxa" w:w="4072"/>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필수 자료·결정</w:t>
            </w:r>
          </w:p>
        </w:tc>
        <w:tc>
          <w:tcPr>
            <w:tcW w:type="dxa" w:w="3195"/>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대상자 중심 확인</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초기상담</w:t>
            </w:r>
          </w:p>
        </w:tc>
        <w:tc>
          <w:tcPr>
            <w:tcW w:type="dxa" w:w="407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25문항·안전상태·정보원·강점</w:t>
            </w:r>
          </w:p>
        </w:tc>
        <w:tc>
          <w:tcPr>
            <w:tcW w:type="dxa" w:w="319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학생의 원하는 도움·연락 가능성</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종합사정</w:t>
            </w:r>
          </w:p>
        </w:tc>
        <w:tc>
          <w:tcPr>
            <w:tcW w:type="dxa" w:w="407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사실·해석·미확인 / 10영역</w:t>
            </w:r>
          </w:p>
        </w:tc>
        <w:tc>
          <w:tcPr>
            <w:tcW w:type="dxa" w:w="319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가족·학교·환경의 구체적 어려움</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협의·판정</w:t>
            </w:r>
          </w:p>
        </w:tc>
        <w:tc>
          <w:tcPr>
            <w:tcW w:type="dxa" w:w="407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학교·복지기관 역할 / 미결사항</w:t>
            </w:r>
          </w:p>
        </w:tc>
        <w:tc>
          <w:tcPr>
            <w:tcW w:type="dxa" w:w="319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지원 수준은 협의 결과로 확정</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계획</w:t>
            </w:r>
          </w:p>
        </w:tc>
        <w:tc>
          <w:tcPr>
            <w:tcW w:type="dxa" w:w="407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단기/중기/장기목표·완료 기준</w:t>
            </w:r>
          </w:p>
        </w:tc>
        <w:tc>
          <w:tcPr>
            <w:tcW w:type="dxa" w:w="319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실행 가능한 작은 변화·동의</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연계</w:t>
            </w:r>
          </w:p>
        </w:tc>
        <w:tc>
          <w:tcPr>
            <w:tcW w:type="dxa" w:w="407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대상·관할·접수상태·대체 서비스</w:t>
            </w:r>
          </w:p>
        </w:tc>
        <w:tc>
          <w:tcPr>
            <w:tcW w:type="dxa" w:w="319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실제 신청·이용 가능 여부</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점검·재사정</w:t>
            </w:r>
          </w:p>
        </w:tc>
        <w:tc>
          <w:tcPr>
            <w:tcW w:type="dxa" w:w="407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기준선·서비스 이행·생활 변화</w:t>
            </w:r>
          </w:p>
        </w:tc>
        <w:tc>
          <w:tcPr>
            <w:tcW w:type="dxa" w:w="319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학생 체감·안전 변화·계획수정</w:t>
            </w:r>
          </w:p>
        </w:tc>
      </w:tr>
      <w:tr>
        <w:trPr>
          <w:cantSplit/>
        </w:trPr>
        <w:tc>
          <w:tcPr>
            <w:tcW w:type="dxa" w:w="1804"/>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종결·사후</w:t>
            </w:r>
          </w:p>
        </w:tc>
        <w:tc>
          <w:tcPr>
            <w:tcW w:type="dxa" w:w="4072"/>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목표 달성·남은 욕구·재접촉 기준</w:t>
            </w:r>
          </w:p>
        </w:tc>
        <w:tc>
          <w:tcPr>
            <w:tcW w:type="dxa" w:w="3195"/>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본인이 이용할 수 있는 도움경로</w:t>
            </w:r>
          </w:p>
        </w:tc>
      </w:tr>
    </w:tbl>
    <w:p>
      <w:pPr>
        <w:pStyle w:val="ArticleH2"/>
      </w:pPr>
      <w:r>
        <w:rPr>
          <w:rFonts w:ascii="NanumMyeongjo" w:hAnsi="NanumMyeongjo" w:eastAsia="NanumMyeongjo" w:cs="NanumMyeongjo"/>
          <w:b w:val="0"/>
          <w:i w:val="0"/>
          <w:lang w:val="ko-KR" w:eastAsia="ko-KR"/>
        </w:rPr>
        <w:t>9.2 서비스 연계 상태기계</w:t>
      </w:r>
    </w:p>
    <w:p>
      <w:pPr>
        <w:pStyle w:val="ArticleBody"/>
        <w:jc w:val="both"/>
      </w:pPr>
      <w:r>
        <w:rPr>
          <w:rFonts w:ascii="NanumMyeongjo" w:hAnsi="NanumMyeongjo" w:eastAsia="NanumMyeongjo" w:cs="NanumMyeongjo"/>
          <w:b w:val="0"/>
          <w:i w:val="0"/>
          <w:lang w:val="ko-KR" w:eastAsia="ko-KR"/>
        </w:rPr>
        <w:t>서비스의 상태는 “미검토 → 후보 → 조건확인 → 문의 → 의뢰 → 접수 → 승인/대기 → 제공시작 → 유지/중단 → 완료”로 추적한다. 부적합·반려·중단은 별도 사유와 대체 후보를 기록하며 이전 이력을 삭제하지 않는다. 사이트에서 특정 기관을 클릭한 것만으로 문의 완료라고 기록하면 안 된다.</w:t>
      </w:r>
    </w:p>
    <w:p>
      <w:pPr>
        <w:pStyle w:val="ArticleBody"/>
        <w:jc w:val="both"/>
      </w:pPr>
      <w:r>
        <w:rPr>
          <w:rFonts w:ascii="NanumMyeongjo" w:hAnsi="NanumMyeongjo" w:eastAsia="NanumMyeongjo" w:cs="NanumMyeongjo"/>
          <w:b w:val="0"/>
          <w:i w:val="0"/>
          <w:lang w:val="ko-KR" w:eastAsia="ko-KR"/>
        </w:rPr>
        <w:t>연계 성과의 1차 지표는 목록 제시가 아닌 실제 이용 개시 비율, 지원조건 충족 여부, 거절·대기 사유, 재의뢰 소요, 학생의 생활목표 개선 등이다. 기록 시 의뢰 시점과 실제 제공 시점의 차이를 관리해야 서비스 연결의 효과를 알 수 있다.</w:t>
      </w:r>
    </w:p>
    <w:p>
      <w:pPr>
        <w:pStyle w:val="ArticleH2"/>
      </w:pPr>
      <w:r>
        <w:rPr>
          <w:rFonts w:ascii="NanumMyeongjo" w:hAnsi="NanumMyeongjo" w:eastAsia="NanumMyeongjo" w:cs="NanumMyeongjo"/>
          <w:b w:val="0"/>
          <w:i w:val="0"/>
          <w:lang w:val="ko-KR" w:eastAsia="ko-KR"/>
        </w:rPr>
        <w:t>9.3 시스템화 로드맵 - 개발 제안</w:t>
      </w:r>
    </w:p>
    <w:p>
      <w:pPr>
        <w:pStyle w:val="ArticleTableLabel"/>
      </w:pPr>
      <w:r>
        <w:rPr>
          <w:rFonts w:ascii="NanumGothic" w:hAnsi="NanumGothic" w:eastAsia="NanumGothic" w:cs="NanumGothic"/>
          <w:b/>
          <w:sz w:val="18"/>
          <w:lang w:val="ko-KR" w:eastAsia="ko-KR"/>
        </w:rPr>
        <w:t xml:space="preserve">〈표 16〉  시스템화 로드맵</w:t>
      </w:r>
    </w:p>
    <w:tbl>
      <w:tblPr>
        <w:tblW w:type="auto" w:w="0"/>
        <w:jc w:val="center"/>
        <w:tblLayout w:type="fixed"/>
        <w:tblLook w:firstColumn="1" w:firstRow="1" w:lastColumn="0" w:lastRow="0" w:noHBand="0" w:noVBand="1" w:val="04A0"/>
      </w:tblPr>
      <w:tblGrid>
        <w:gridCol w:w="1804"/>
        <w:gridCol w:w="3969"/>
        <w:gridCol w:w="3298"/>
      </w:tblGrid>
      <w:tr>
        <w:trPr>
          <w:cantSplit/>
          <w:tblHeader w:val="true"/>
        </w:trPr>
        <w:tc>
          <w:tcPr>
            <w:tcW w:type="dxa" w:w="1804"/>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단계</w:t>
            </w:r>
          </w:p>
        </w:tc>
        <w:tc>
          <w:tcPr>
            <w:tcW w:type="dxa" w:w="3969"/>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우선 구현</w:t>
            </w:r>
          </w:p>
        </w:tc>
        <w:tc>
          <w:tcPr>
            <w:tcW w:type="dxa" w:w="3298"/>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검수 수용기준</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P0 핵심 안정화</w:t>
            </w:r>
          </w:p>
        </w:tc>
        <w:tc>
          <w:tcPr>
            <w:tcW w:type="dxa" w:w="3969"/>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CORE 불변·상태전이·미상·안전출력</w:t>
            </w:r>
          </w:p>
        </w:tc>
        <w:tc>
          <w:tcPr>
            <w:tcW w:type="dxa" w:w="3298"/>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동일 입력 오프라인·온라인 일치, 단계 버튼 작동</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P1 자원 메타데이터</w:t>
            </w:r>
          </w:p>
        </w:tc>
        <w:tc>
          <w:tcPr>
            <w:tcW w:type="dxa" w:w="3969"/>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서비스 ID·근거·접수상태·담당창구</w:t>
            </w:r>
          </w:p>
        </w:tc>
        <w:tc>
          <w:tcPr>
            <w:tcW w:type="dxa" w:w="3298"/>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무근거 “접수 가능” 표시 0건</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P2 의뢰·점검</w:t>
            </w:r>
          </w:p>
        </w:tc>
        <w:tc>
          <w:tcPr>
            <w:tcW w:type="dxa" w:w="3969"/>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진행상태·담당·기한·변경이력</w:t>
            </w:r>
          </w:p>
        </w:tc>
        <w:tc>
          <w:tcPr>
            <w:tcW w:type="dxa" w:w="3298"/>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문의·접수·제공 구분, 재평가 연결</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P3 분석·검수</w:t>
            </w:r>
          </w:p>
        </w:tc>
        <w:tc>
          <w:tcPr>
            <w:tcW w:type="dxa" w:w="3969"/>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전문가 검토셋·모델 비교·편향 점검</w:t>
            </w:r>
          </w:p>
        </w:tc>
        <w:tc>
          <w:tcPr>
            <w:tcW w:type="dxa" w:w="3298"/>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오류 유형별 개선·독립 재검증</w:t>
            </w:r>
          </w:p>
        </w:tc>
      </w:tr>
      <w:tr>
        <w:trPr>
          <w:cantSplit/>
        </w:trPr>
        <w:tc>
          <w:tcPr>
            <w:tcW w:type="dxa" w:w="1804"/>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P4 제도 연계 준비</w:t>
            </w:r>
          </w:p>
        </w:tc>
        <w:tc>
          <w:tcPr>
            <w:tcW w:type="dxa" w:w="3969"/>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권한·동의·연계 API·감사로그 검토</w:t>
            </w:r>
          </w:p>
        </w:tc>
        <w:tc>
          <w:tcPr>
            <w:tcW w:type="dxa" w:w="3298"/>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법적 근거·보안점검 후에만 실제 연동</w:t>
            </w:r>
          </w:p>
        </w:tc>
      </w:tr>
    </w:tbl>
    <w:p>
      <w:pPr>
        <w:pStyle w:val="ArticleBody"/>
        <w:jc w:val="both"/>
      </w:pPr>
      <w:r>
        <w:rPr>
          <w:rFonts w:ascii="NanumMyeongjo" w:hAnsi="NanumMyeongjo" w:eastAsia="NanumMyeongjo" w:cs="NanumMyeongjo"/>
          <w:b w:val="0"/>
          <w:i w:val="0"/>
          <w:lang w:val="ko-KR" w:eastAsia="ko-KR"/>
        </w:rPr>
        <w:t xml:space="preserve">2026년 10월 26일 기준 진행 상태는 다음과 같다. P0은 CORE 불변 회귀검사와 브라우저 이용 경로 검사가 GitHub Actions에서 자동 실행되고 있다. P1은 자원 카드의 확인 배지와 접수 상태 분리가 구현되었으나 사업별 근거 확인은 진행 중이다. P2~P4는 아직 착수하지 않았다. 향후 교육 당국의 학생맞춤통합지원 정보시스템이 마련되더라도, 그것이 OY-RALS와 연동되는 API가 제공된다는 뜻은 아니다. 제도화된 표준, 권한, 개인정보 법적 근거가 확정된 이후에만 외부 시스템 연동을 검토하는 것이 적절하다.</w:t>
      </w:r>
    </w:p>
    <w:p>
      <w:pPr>
        <w:pStyle w:val="ArticleH1"/>
      </w:pPr>
      <w:r>
        <w:rPr>
          <w:rFonts w:ascii="NanumMyeongjo" w:hAnsi="NanumMyeongjo" w:eastAsia="NanumMyeongjo" w:cs="NanumMyeongjo"/>
          <w:b w:val="0"/>
          <w:i w:val="0"/>
          <w:lang w:val="ko-KR" w:eastAsia="ko-KR"/>
        </w:rPr>
        <w:t>10. AI 실증 과정의 구조적 정리</w:t>
      </w:r>
    </w:p>
    <w:p>
      <w:pPr>
        <w:keepNext/>
        <w:jc w:val="center"/>
      </w:pPr>
      <w:r>
        <w:drawing>
          <wp:inline xmlns:a="http://schemas.openxmlformats.org/drawingml/2006/main" xmlns:pic="http://schemas.openxmlformats.org/drawingml/2006/picture">
            <wp:extent cx="5652000" cy="3503678"/>
            <wp:docPr id="6" name="Picture 6"/>
            <wp:cNvGraphicFramePr>
              <a:graphicFrameLocks noChangeAspect="1"/>
            </wp:cNvGraphicFramePr>
            <a:graphic>
              <a:graphicData uri="http://schemas.openxmlformats.org/drawingml/2006/picture">
                <pic:pic>
                  <pic:nvPicPr>
                    <pic:cNvPr id="0" name="diagram_6.png"/>
                    <pic:cNvPicPr/>
                  </pic:nvPicPr>
                  <pic:blipFill>
                    <a:blip r:embed="rId16"/>
                    <a:stretch>
                      <a:fillRect/>
                    </a:stretch>
                  </pic:blipFill>
                  <pic:spPr>
                    <a:xfrm>
                      <a:off x="0" y="0"/>
                      <a:ext cx="5652000" cy="3503678"/>
                    </a:xfrm>
                    <a:prstGeom prst="rect"/>
                  </pic:spPr>
                </pic:pic>
              </a:graphicData>
            </a:graphic>
          </wp:inline>
        </w:drawing>
      </w:r>
    </w:p>
    <w:p>
      <w:pPr>
        <w:pStyle w:val="ArticleCaption"/>
      </w:pPr>
      <w:r>
        <w:rPr>
          <w:rFonts w:ascii="NanumMyeongjo" w:hAnsi="NanumMyeongjo" w:eastAsia="NanumMyeongjo" w:cs="NanumMyeongjo"/>
          <w:b w:val="0"/>
          <w:i w:val="0"/>
          <w:lang w:val="ko-KR" w:eastAsia="ko-KR"/>
        </w:rPr>
        <w:t xml:space="preserve">〈그림 8〉 개발단계 가상검수와 향후 실증연구의 구분 (개발자 작성 모형)</w:t>
      </w:r>
    </w:p>
    <w:p>
      <w:pPr>
        <w:pStyle w:val="ArticleCaption"/>
      </w:pPr>
      <w:r>
        <w:rPr>
          <w:rFonts w:ascii="NanumMyeongjo" w:hAnsi="NanumMyeongjo" w:eastAsia="NanumMyeongjo" w:cs="NanumMyeongjo"/>
          <w:b w:val="0"/>
          <w:i w:val="0"/>
          <w:lang w:val="ko-KR" w:eastAsia="ko-KR"/>
        </w:rPr>
        <w:t xml:space="preserve">주. 개발단계 가상사례 검수(기록된 범위)와 미래 실증연구를 분리한 이중 트랙. “실증”은 가상 테스트를 뜻하는 내부 개발 용어로 제한합니다.</w:t>
      </w:r>
    </w:p>
    <w:p>
      <w:pPr>
        <w:pStyle w:val="ArticleBody"/>
        <w:jc w:val="both"/>
      </w:pPr>
      <w:r>
        <w:rPr>
          <w:rFonts w:ascii="NanumMyeongjo" w:hAnsi="NanumMyeongjo" w:eastAsia="NanumMyeongjo" w:cs="NanumMyeongjo"/>
          <w:b w:val="0"/>
          <w:i w:val="0"/>
          <w:lang w:val="ko-KR" w:eastAsia="ko-KR"/>
        </w:rPr>
        <w:t>본 보고서에서 AI 실증 과정은 엄밀하게 “AI 또는 규칙 기반 모델을 포함하는 가상사례·합성입력 기반 검수”를 뜻한다. AI 유사 해석결과와 개발자가 작성한 기대응답을 반복 비교하면 누락·안전 오판·서술과 점수의 충돌·불필요한 자동 개입계획을 식별할 수 있다. 그러나 기대정답 자체가 개발자 가설과 동일하면 높은 정합률은 독립적 타당도의 근거가 아니다.</w:t>
      </w:r>
    </w:p>
    <w:p>
      <w:pPr>
        <w:pStyle w:val="ArticleBody"/>
        <w:jc w:val="both"/>
      </w:pPr>
      <w:r>
        <w:rPr>
          <w:rFonts w:ascii="NanumMyeongjo" w:hAnsi="NanumMyeongjo" w:eastAsia="NanumMyeongjo" w:cs="NanumMyeongjo"/>
          <w:b w:val="0"/>
          <w:i w:val="0"/>
          <w:lang w:val="ko-KR" w:eastAsia="ko-KR"/>
        </w:rPr>
        <w:t>현재 모델은 로컬 규칙·문장 구성·근거추적을 사용하는 구성으로, 대규모 언어모델이 실시간으로 학습하여 진단하는 구조가 아니다. 데이터와 사례 조합을 늘렸다는 사실만으로 전문성·실증타당도가 보장되지 않는다. 결과마다 근거출처, 확인상태, 잘못된 가설을 억제하는 규칙, 사람의 재판정 절차가 필요하다.</w:t>
      </w:r>
    </w:p>
    <w:p>
      <w:pPr>
        <w:pStyle w:val="ArticleH2"/>
      </w:pPr>
      <w:r>
        <w:rPr>
          <w:rFonts w:ascii="NanumMyeongjo" w:hAnsi="NanumMyeongjo" w:eastAsia="NanumMyeongjo" w:cs="NanumMyeongjo"/>
          <w:b w:val="0"/>
          <w:i w:val="0"/>
          <w:lang w:val="ko-KR" w:eastAsia="ko-KR"/>
        </w:rPr>
        <w:t xml:space="preserve">10.0 현재 화면의 AI 기능(2026.10.26 개편)</w:t>
      </w:r>
    </w:p>
    <w:p>
      <w:pPr>
        <w:pStyle w:val="ArticleBody"/>
        <w:jc w:val="both"/>
      </w:pPr>
      <w:r>
        <w:rPr>
          <w:rFonts w:ascii="NanumMyeongjo" w:hAnsi="NanumMyeongjo" w:eastAsia="NanumMyeongjo" w:cs="NanumMyeongjo"/>
          <w:b w:val="0"/>
          <w:i w:val="0"/>
          <w:lang w:val="ko-KR" w:eastAsia="ko-KR"/>
        </w:rPr>
        <w:t xml:space="preserve">운영 화면의 AI 관련 기능은 2026년 10월 26일 개편으로 다음과 같이 정리되었다. 첫째, 해석지 각 부분 제목 옆의 “AI에 묻기”를 누르면 옆 패널이 열리고, 자주 묻는 질문 9개(이번 주 먼저 할 일, 면담 첫 질문, 학교·복지관 역할, 보호자 협력, 사례회의 안건, 연결할 자원, 어려움이 맞물린 이유, 슈퍼비전 관점, 재평가 기준)는 해석지에 이미 있는 문장으로 바로 답한다. 둘째, 그보다 깊은 질문은 짧은 요청문을 복사해 실무자가 쓰는 외부 AI 서비스에 붙여 넣는 방식이다. 요청문에는 기본적으로 척도 결과만 들어가고, 서술기록은 실무자가 선택할 때만 포함되며, 사이트가 자료를 자동으로 전송하지 않는다. 셋째, 받은 답변은 실무자가 검토·수정하여 04 AI 사례자문 작업실의 자문 모음에 저장할 수 있으나 브라우저 탭 안에서만 유지된다. 넷째, 보고서 출력 옆의 “AI로 보고서 작성·보완”은 통합사례보고서·사례회의 안건지 등의 요청문을 만든다.</w:t>
      </w:r>
    </w:p>
    <w:p>
      <w:pPr>
        <w:pStyle w:val="ArticleBody"/>
        <w:jc w:val="both"/>
      </w:pPr>
      <w:r>
        <w:rPr>
          <w:rFonts w:ascii="NanumMyeongjo" w:hAnsi="NanumMyeongjo" w:eastAsia="NanumMyeongjo" w:cs="NanumMyeongjo"/>
          <w:b w:val="0"/>
          <w:i w:val="0"/>
          <w:lang w:val="ko-KR" w:eastAsia="ko-KR"/>
        </w:rPr>
        <w:t xml:space="preserve">개편 전 04 단계에 있던 규칙·검색형 대화 엔진(OY-CIE)은 질문 의도를 분류한 뒤 사례자료를 고정된 구조로 정리하는 방식이어서 질문별 답의 차별성이 제한적이라는 내부 점검 결과가 있었고, 메인 흐름과 머리글 링크에서 모두 내려 연구용 페이지 파일로만 보존하였다(main 45d6831). 어느 방식이든 외부 AI의 답변은 공식 점수·안전판정을 바꾸지 않으며, 실무자 검토 전 참고자료로만 다룬다.</w:t>
      </w:r>
    </w:p>
    <w:p>
      <w:pPr>
        <w:pStyle w:val="ArticleH2"/>
      </w:pPr>
      <w:r>
        <w:rPr>
          <w:rFonts w:ascii="NanumMyeongjo" w:hAnsi="NanumMyeongjo" w:eastAsia="NanumMyeongjo" w:cs="NanumMyeongjo"/>
          <w:b w:val="0"/>
          <w:i w:val="0"/>
          <w:lang w:val="ko-KR" w:eastAsia="ko-KR"/>
        </w:rPr>
        <w:t>10.1 기존 보고된 개발 검수와 가능한 해석</w:t>
      </w:r>
    </w:p>
    <w:p>
      <w:pPr>
        <w:pStyle w:val="ArticleTableLabel"/>
      </w:pPr>
      <w:r>
        <w:rPr>
          <w:rFonts w:ascii="NanumGothic" w:hAnsi="NanumGothic" w:eastAsia="NanumGothic" w:cs="NanumGothic"/>
          <w:b/>
          <w:sz w:val="18"/>
          <w:lang w:val="ko-KR" w:eastAsia="ko-KR"/>
        </w:rPr>
        <w:t xml:space="preserve">〈표 17〉  기존 개발 검수 기록과 해석 범위</w:t>
      </w:r>
    </w:p>
    <w:tbl>
      <w:tblPr>
        <w:tblW w:type="auto" w:w="0"/>
        <w:jc w:val="center"/>
        <w:tblLayout w:type="fixed"/>
        <w:tblLook w:firstColumn="1" w:firstRow="1" w:lastColumn="0" w:lastRow="0" w:noHBand="0" w:noVBand="1" w:val="04A0"/>
      </w:tblPr>
      <w:tblGrid>
        <w:gridCol w:w="2010"/>
        <w:gridCol w:w="3453"/>
        <w:gridCol w:w="3608"/>
      </w:tblGrid>
      <w:tr>
        <w:trPr>
          <w:cantSplit/>
          <w:tblHeader w:val="true"/>
        </w:trPr>
        <w:tc>
          <w:tcPr>
            <w:tcW w:type="dxa" w:w="2010"/>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자료</w:t>
            </w:r>
          </w:p>
        </w:tc>
        <w:tc>
          <w:tcPr>
            <w:tcW w:type="dxa" w:w="3453"/>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기존 보고된 범위</w:t>
            </w:r>
          </w:p>
        </w:tc>
        <w:tc>
          <w:tcPr>
            <w:tcW w:type="dxa" w:w="3608"/>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정당하게 말할 수 있는 결론</w:t>
            </w:r>
          </w:p>
        </w:tc>
      </w:tr>
      <w:tr>
        <w:trPr>
          <w:cantSplit/>
        </w:trPr>
        <w:tc>
          <w:tcPr>
            <w:tcW w:type="dxa" w:w="201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합성 입력 500,000건</w:t>
            </w:r>
          </w:p>
        </w:tc>
        <w:tc>
          <w:tcPr>
            <w:tcW w:type="dxa" w:w="3453"/>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기술 불변조건 위반 0건 기록</w:t>
            </w:r>
          </w:p>
        </w:tc>
        <w:tc>
          <w:tcPr>
            <w:tcW w:type="dxa" w:w="3608"/>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해당 시험조건 내 지정 계산오류 미검출</w:t>
            </w:r>
          </w:p>
        </w:tc>
      </w:tr>
      <w:tr>
        <w:trPr>
          <w:cantSplit/>
        </w:trPr>
        <w:tc>
          <w:tcPr>
            <w:tcW w:type="dxa" w:w="201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공개 우수사례 20건</w:t>
            </w:r>
          </w:p>
        </w:tc>
        <w:tc>
          <w:tcPr>
            <w:tcW w:type="dxa" w:w="3453"/>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개발자 코딩 준거·점수 변형 20,000회</w:t>
            </w:r>
          </w:p>
        </w:tc>
        <w:tc>
          <w:tcPr>
            <w:tcW w:type="dxa" w:w="3608"/>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내부 기준에 따른 영역 정렬 정합도</w:t>
            </w:r>
          </w:p>
        </w:tc>
      </w:tr>
      <w:tr>
        <w:trPr>
          <w:cantSplit/>
        </w:trPr>
        <w:tc>
          <w:tcPr>
            <w:tcW w:type="dxa" w:w="201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가상 사례 80건</w:t>
            </w:r>
          </w:p>
        </w:tc>
        <w:tc>
          <w:tcPr>
            <w:tcW w:type="dxa" w:w="3453"/>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다영역 가상 시나리오 검토</w:t>
            </w:r>
          </w:p>
        </w:tc>
        <w:tc>
          <w:tcPr>
            <w:tcW w:type="dxa" w:w="3608"/>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일부 규칙·문장·연계 후보의 정성 검토</w:t>
            </w:r>
          </w:p>
        </w:tc>
      </w:tr>
      <w:tr>
        <w:trPr>
          <w:cantSplit/>
        </w:trPr>
        <w:tc>
          <w:tcPr>
            <w:tcW w:type="dxa" w:w="201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V8.8 회귀·브라우저</w:t>
            </w:r>
          </w:p>
        </w:tc>
        <w:tc>
          <w:tcPr>
            <w:tcW w:type="dxa" w:w="3453"/>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CORE 1,000건, 가상 5,000건 등</w:t>
            </w:r>
          </w:p>
        </w:tc>
        <w:tc>
          <w:tcPr>
            <w:tcW w:type="dxa" w:w="3608"/>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해당 버전의 불변조건·UI 작동성</w:t>
            </w:r>
          </w:p>
        </w:tc>
      </w:tr>
      <w:tr>
        <w:trPr>
          <w:cantSplit/>
        </w:trPr>
        <w:tc>
          <w:tcPr>
            <w:tcW w:type="dxa" w:w="201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심층 해석·서술 회귀검사(2026.10.26)</w:t>
            </w:r>
          </w:p>
        </w:tc>
        <w:tc>
          <w:tcPr>
            <w:tcW w:type="dxa" w:w="3453"/>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지정 가상 사례 11건과 난수 응답 3,000건(해석지), 난수 600건(서술 분석)</w:t>
            </w:r>
          </w:p>
        </w:tc>
        <w:tc>
          <w:tcPr>
            <w:tcW w:type="dxa" w:w="3608"/>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해석지 구조·불변조건의 계산 재현성</w:t>
            </w:r>
          </w:p>
        </w:tc>
      </w:tr>
      <w:tr>
        <w:trPr>
          <w:cantSplit/>
        </w:trPr>
        <w:tc>
          <w:tcPr>
            <w:tcW w:type="dxa" w:w="2010"/>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독립 실제 학생 실증</w:t>
            </w:r>
          </w:p>
        </w:tc>
        <w:tc>
          <w:tcPr>
            <w:tcW w:type="dxa" w:w="3453"/>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현재 확인된 수행 근거 없음</w:t>
            </w:r>
          </w:p>
        </w:tc>
        <w:tc>
          <w:tcPr>
            <w:tcW w:type="dxa" w:w="3608"/>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신뢰도·타당도·효과는 미확립</w:t>
            </w:r>
          </w:p>
        </w:tc>
      </w:tr>
    </w:tbl>
    <w:p>
      <w:pPr>
        <w:pStyle w:val="ArticleH2"/>
      </w:pPr>
      <w:r>
        <w:rPr>
          <w:rFonts w:ascii="NanumMyeongjo" w:hAnsi="NanumMyeongjo" w:eastAsia="NanumMyeongjo" w:cs="NanumMyeongjo"/>
          <w:b w:val="0"/>
          <w:i w:val="0"/>
          <w:lang w:val="ko-KR" w:eastAsia="ko-KR"/>
        </w:rPr>
        <w:t>10.2 가상 AI 검수 루프의 자세한 구성</w:t>
      </w:r>
    </w:p>
    <w:p>
      <w:pPr>
        <w:pStyle w:val="ArticleSmall"/>
      </w:pPr>
      <w:r>
        <w:rPr>
          <w:rFonts w:ascii="NanumMyeongjo" w:hAnsi="NanumMyeongjo" w:eastAsia="NanumMyeongjo" w:cs="NanumMyeongjo"/>
          <w:b/>
          <w:i w:val="0"/>
          <w:lang w:val="ko-KR" w:eastAsia="ko-KR"/>
        </w:rPr>
        <w:t>01. 사례 프로파일 설계</w:t>
      </w:r>
      <w:r>
        <w:rPr>
          <w:rFonts w:ascii="NanumMyeongjo" w:hAnsi="NanumMyeongjo" w:eastAsia="NanumMyeongjo" w:cs="NanumMyeongjo"/>
          <w:b w:val="0"/>
          <w:i w:val="0"/>
          <w:lang w:val="ko-KR" w:eastAsia="ko-KR"/>
        </w:rPr>
        <w:t xml:space="preserve"> 미상, 단일 고득점, 복합 저득점, 보호자 연락 위험, 서비스 중단, 서술 부정, 경제·장애 오인 등 유형별 가상 입력을 작성한다.</w:t>
      </w:r>
    </w:p>
    <w:p>
      <w:pPr>
        <w:pStyle w:val="ArticleSmall"/>
      </w:pPr>
      <w:r>
        <w:rPr>
          <w:rFonts w:ascii="NanumMyeongjo" w:hAnsi="NanumMyeongjo" w:eastAsia="NanumMyeongjo" w:cs="NanumMyeongjo"/>
          <w:b/>
          <w:i w:val="0"/>
          <w:lang w:val="ko-KR" w:eastAsia="ko-KR"/>
        </w:rPr>
        <w:t>02. 원입력·참고답안 분리</w:t>
      </w:r>
      <w:r>
        <w:rPr>
          <w:rFonts w:ascii="NanumMyeongjo" w:hAnsi="NanumMyeongjo" w:eastAsia="NanumMyeongjo" w:cs="NanumMyeongjo"/>
          <w:b w:val="0"/>
          <w:i w:val="0"/>
          <w:lang w:val="ko-KR" w:eastAsia="ko-KR"/>
        </w:rPr>
        <w:t xml:space="preserve"> CORE 공식 정답은 코드식으로 결정하고, 종합사정·연계 적합성은 독립 평가자가 별도 작성하도록 설계한다.</w:t>
      </w:r>
    </w:p>
    <w:p>
      <w:pPr>
        <w:pStyle w:val="ArticleSmall"/>
      </w:pPr>
      <w:r>
        <w:rPr>
          <w:rFonts w:ascii="NanumMyeongjo" w:hAnsi="NanumMyeongjo" w:eastAsia="NanumMyeongjo" w:cs="NanumMyeongjo"/>
          <w:b/>
          <w:i w:val="0"/>
          <w:lang w:val="ko-KR" w:eastAsia="ko-KR"/>
        </w:rPr>
        <w:t>03. 모델별 독립 출력</w:t>
      </w:r>
      <w:r>
        <w:rPr>
          <w:rFonts w:ascii="NanumMyeongjo" w:hAnsi="NanumMyeongjo" w:eastAsia="NanumMyeongjo" w:cs="NanumMyeongjo"/>
          <w:b w:val="0"/>
          <w:i w:val="0"/>
          <w:lang w:val="ko-KR" w:eastAsia="ko-KR"/>
        </w:rPr>
        <w:t xml:space="preserve"> CORE·ICSI·OY-CIE·K-CARR·ICMS·지역자원 추천 결과를 서로 다른 출력단위로 보관한다.</w:t>
      </w:r>
    </w:p>
    <w:p>
      <w:pPr>
        <w:pStyle w:val="ArticleSmall"/>
      </w:pPr>
      <w:r>
        <w:rPr>
          <w:rFonts w:ascii="NanumMyeongjo" w:hAnsi="NanumMyeongjo" w:eastAsia="NanumMyeongjo" w:cs="NanumMyeongjo"/>
          <w:b/>
          <w:i w:val="0"/>
          <w:lang w:val="ko-KR" w:eastAsia="ko-KR"/>
        </w:rPr>
        <w:t>04. 다층 오류 판정</w:t>
      </w:r>
      <w:r>
        <w:rPr>
          <w:rFonts w:ascii="NanumMyeongjo" w:hAnsi="NanumMyeongjo" w:eastAsia="NanumMyeongjo" w:cs="NanumMyeongjo"/>
          <w:b w:val="0"/>
          <w:i w:val="0"/>
          <w:lang w:val="ko-KR" w:eastAsia="ko-KR"/>
        </w:rPr>
        <w:t xml:space="preserve"> 원점수 변경, 안전 오판, 미상 0점 처리, 무근거 서술 단정, 부적합한 자원 추천, 의뢰 완료 허위표시를 구분한다.</w:t>
      </w:r>
    </w:p>
    <w:p>
      <w:pPr>
        <w:pStyle w:val="ArticleSmall"/>
      </w:pPr>
      <w:r>
        <w:rPr>
          <w:rFonts w:ascii="NanumMyeongjo" w:hAnsi="NanumMyeongjo" w:eastAsia="NanumMyeongjo" w:cs="NanumMyeongjo"/>
          <w:b/>
          <w:i w:val="0"/>
          <w:lang w:val="ko-KR" w:eastAsia="ko-KR"/>
        </w:rPr>
        <w:t>05. 반례 분석</w:t>
      </w:r>
      <w:r>
        <w:rPr>
          <w:rFonts w:ascii="NanumMyeongjo" w:hAnsi="NanumMyeongjo" w:eastAsia="NanumMyeongjo" w:cs="NanumMyeongjo"/>
          <w:b w:val="0"/>
          <w:i w:val="0"/>
          <w:lang w:val="ko-KR" w:eastAsia="ko-KR"/>
        </w:rPr>
        <w:t xml:space="preserve"> 오류 입력을 고정된 검수셋으로 축적하고 사용자에게 설명 가능한 규칙·문구·출처의 수정 필요를 기록한다.</w:t>
      </w:r>
    </w:p>
    <w:p>
      <w:pPr>
        <w:pStyle w:val="ArticleSmall"/>
      </w:pPr>
      <w:r>
        <w:rPr>
          <w:rFonts w:ascii="NanumMyeongjo" w:hAnsi="NanumMyeongjo" w:eastAsia="NanumMyeongjo" w:cs="NanumMyeongjo"/>
          <w:b/>
          <w:i w:val="0"/>
          <w:lang w:val="ko-KR" w:eastAsia="ko-KR"/>
        </w:rPr>
        <w:t>06. 패치 후 회귀</w:t>
      </w:r>
      <w:r>
        <w:rPr>
          <w:rFonts w:ascii="NanumMyeongjo" w:hAnsi="NanumMyeongjo" w:eastAsia="NanumMyeongjo" w:cs="NanumMyeongjo"/>
          <w:b w:val="0"/>
          <w:i w:val="0"/>
          <w:lang w:val="ko-KR" w:eastAsia="ko-KR"/>
        </w:rPr>
        <w:t xml:space="preserve"> 기존 검수셋·새 난수 시드를 동일하게 실행하여 핵심 불변조건, 안전민감성, 자원 상태 표시의 회귀를 점검한다.</w:t>
      </w:r>
    </w:p>
    <w:p>
      <w:pPr>
        <w:pStyle w:val="ArticleSmall"/>
      </w:pPr>
      <w:r>
        <w:rPr>
          <w:rFonts w:ascii="NanumMyeongjo" w:hAnsi="NanumMyeongjo" w:eastAsia="NanumMyeongjo" w:cs="NanumMyeongjo"/>
          <w:b/>
          <w:i w:val="0"/>
          <w:lang w:val="ko-KR" w:eastAsia="ko-KR"/>
        </w:rPr>
        <w:t>07. 독립 전문가 재평가</w:t>
      </w:r>
      <w:r>
        <w:rPr>
          <w:rFonts w:ascii="NanumMyeongjo" w:hAnsi="NanumMyeongjo" w:eastAsia="NanumMyeongjo" w:cs="NanumMyeongjo"/>
          <w:b w:val="0"/>
          <w:i w:val="0"/>
          <w:lang w:val="ko-KR" w:eastAsia="ko-KR"/>
        </w:rPr>
        <w:t xml:space="preserve"> 개발자가 아닌 교사·교육복지사·사회복지사·보호·상담 전문가의 블라인드 판정을 확보한다. 현재 제안 단계이다.</w:t>
      </w:r>
    </w:p>
    <w:p>
      <w:pPr>
        <w:pStyle w:val="ArticleSmall"/>
      </w:pPr>
      <w:r>
        <w:rPr>
          <w:rFonts w:ascii="NanumMyeongjo" w:hAnsi="NanumMyeongjo" w:eastAsia="NanumMyeongjo" w:cs="NanumMyeongjo"/>
          <w:b/>
          <w:i w:val="0"/>
          <w:lang w:val="ko-KR" w:eastAsia="ko-KR"/>
        </w:rPr>
        <w:t>08. 실제 현장 관찰</w:t>
      </w:r>
      <w:r>
        <w:rPr>
          <w:rFonts w:ascii="NanumMyeongjo" w:hAnsi="NanumMyeongjo" w:eastAsia="NanumMyeongjo" w:cs="NanumMyeongjo"/>
          <w:b w:val="0"/>
          <w:i w:val="0"/>
          <w:lang w:val="ko-KR" w:eastAsia="ko-KR"/>
        </w:rPr>
        <w:t xml:space="preserve"> 적법·윤리적 승인과 동의를 거쳐 실제 사례의 판단·서비스 이용·학생 경험을 전향적으로 관찰한다. 현재 제안 단계이다.</w:t>
      </w:r>
    </w:p>
    <w:p>
      <w:pPr>
        <w:pStyle w:val="ArticleH2"/>
      </w:pPr>
      <w:r>
        <w:rPr>
          <w:rFonts w:ascii="NanumMyeongjo" w:hAnsi="NanumMyeongjo" w:eastAsia="NanumMyeongjo" w:cs="NanumMyeongjo"/>
          <w:b w:val="0"/>
          <w:i w:val="0"/>
          <w:lang w:val="ko-KR" w:eastAsia="ko-KR"/>
        </w:rPr>
        <w:t>10.3 무엇을 정확도라고 부를 수 있는가</w:t>
      </w:r>
    </w:p>
    <w:p>
      <w:pPr>
        <w:pStyle w:val="ArticleBody"/>
        <w:jc w:val="both"/>
      </w:pPr>
      <w:r>
        <w:rPr>
          <w:rFonts w:ascii="NanumMyeongjo" w:hAnsi="NanumMyeongjo" w:eastAsia="NanumMyeongjo" w:cs="NanumMyeongjo"/>
          <w:b w:val="0"/>
          <w:i w:val="0"/>
          <w:lang w:val="ko-KR" w:eastAsia="ko-KR"/>
        </w:rPr>
        <w:t>합성 시험에서 지정 불변조건 위반이 없었다는 비율은 코드 정확성 범위에 속한다. 개발자가 만든 예측정답과의 영역 일치는 모델의 내부 정합도이다. 실제 안전 확인이 필요한 학생을 얼마나 놓치지 않았는지는 독립된 현실 준거, 발생/확인 시점, 관찰 누락, 정의된 분모 없이는 민감도라고 계산할 수 없다.</w:t>
      </w:r>
    </w:p>
    <w:p>
      <w:pPr>
        <w:pStyle w:val="ArticleBody"/>
        <w:jc w:val="both"/>
      </w:pPr>
      <w:r>
        <w:rPr>
          <w:rFonts w:ascii="NanumMyeongjo" w:hAnsi="NanumMyeongjo" w:eastAsia="NanumMyeongjo" w:cs="NanumMyeongjo"/>
          <w:b w:val="0"/>
          <w:i w:val="0"/>
          <w:lang w:val="ko-KR" w:eastAsia="ko-KR"/>
        </w:rPr>
        <w:t>특히 “50만 건 검수했으므로 신뢰도 99%”와 같이 서로 다른 분석개념을 혼합하지 않는다. 일치율이 높더라도 예측 대상의 정의, 참조표준의 독립성, 검수 데이터 구성, 사후 개입에 의한 결과 변화 등을 검토해야 한다.</w:t>
      </w:r>
    </w:p>
    <w:p>
      <w:pPr>
        <w:pStyle w:val="ArticleH1"/>
      </w:pPr>
      <w:r>
        <w:rPr>
          <w:rFonts w:ascii="NanumMyeongjo" w:hAnsi="NanumMyeongjo" w:eastAsia="NanumMyeongjo" w:cs="NanumMyeongjo"/>
          <w:b w:val="0"/>
          <w:i w:val="0"/>
          <w:lang w:val="ko-KR" w:eastAsia="ko-KR"/>
        </w:rPr>
        <w:t>11. 타당도 확보를 위한 연구계획</w:t>
      </w:r>
    </w:p>
    <w:p>
      <w:pPr>
        <w:pStyle w:val="ArticleBody"/>
        <w:jc w:val="both"/>
      </w:pPr>
      <w:r>
        <w:rPr>
          <w:rFonts w:ascii="NanumMyeongjo" w:hAnsi="NanumMyeongjo" w:eastAsia="NanumMyeongjo" w:cs="NanumMyeongjo"/>
          <w:b w:val="0"/>
          <w:i w:val="0"/>
          <w:lang w:val="ko-KR" w:eastAsia="ko-KR"/>
        </w:rPr>
        <w:t>향후 연구는 AI가 많이 생성한 사례 수를 늘리는 것보다 도구의 용도별 타당도를 독립적으로 증명하는 단계에 우선순위를 둔다. 가장 먼저 “무엇을 잘해야 하는지”와 “무엇은 판정하면 안 되는지”를 분명히 해야 한다.</w:t>
      </w:r>
    </w:p>
    <w:p>
      <w:pPr>
        <w:pStyle w:val="ArticleBody"/>
        <w:jc w:val="both"/>
      </w:pPr>
      <w:r>
        <w:rPr>
          <w:rFonts w:ascii="NanumMyeongjo" w:hAnsi="NanumMyeongjo" w:eastAsia="NanumMyeongjo" w:cs="NanumMyeongjo"/>
          <w:b w:val="0"/>
          <w:i w:val="0"/>
          <w:lang w:val="ko-KR" w:eastAsia="ko-KR"/>
        </w:rPr>
        <w:t>본 도구의 주요 성공기준은 학교·복지기관이 안전문제를 놓치지 않고, 실제 지원 필요를 제대로 확인하고, 도움이 되는 기관까지 접수·서비스 제공 여부를 추적했는지이다. 따라서 측정학과 서비스 연계 효과를 각각 별도 연구질문으로 설정한다.</w:t>
      </w:r>
    </w:p>
    <w:p>
      <w:pPr>
        <w:pStyle w:val="ArticleH2"/>
      </w:pPr>
      <w:r>
        <w:rPr>
          <w:rFonts w:ascii="NanumMyeongjo" w:hAnsi="NanumMyeongjo" w:eastAsia="NanumMyeongjo" w:cs="NanumMyeongjo"/>
          <w:b w:val="0"/>
          <w:i w:val="0"/>
          <w:lang w:val="ko-KR" w:eastAsia="ko-KR"/>
        </w:rPr>
        <w:t>11.1 6단계 독립 실증 타당화(제안)</w:t>
      </w:r>
    </w:p>
    <w:p>
      <w:pPr>
        <w:pStyle w:val="ArticleTableLabel"/>
      </w:pPr>
      <w:r>
        <w:rPr>
          <w:rFonts w:ascii="NanumGothic" w:hAnsi="NanumGothic" w:eastAsia="NanumGothic" w:cs="NanumGothic"/>
          <w:b/>
          <w:sz w:val="18"/>
          <w:lang w:val="ko-KR" w:eastAsia="ko-KR"/>
        </w:rPr>
        <w:t xml:space="preserve">〈표 18〉  6단계 독립 실증 타당화(제안)</w:t>
      </w:r>
    </w:p>
    <w:tbl>
      <w:tblPr>
        <w:tblW w:type="auto" w:w="0"/>
        <w:jc w:val="center"/>
        <w:tblLayout w:type="fixed"/>
        <w:tblLook w:firstColumn="1" w:firstRow="1" w:lastColumn="0" w:lastRow="0" w:noHBand="0" w:noVBand="1" w:val="04A0"/>
      </w:tblPr>
      <w:tblGrid>
        <w:gridCol w:w="1804"/>
        <w:gridCol w:w="4535"/>
        <w:gridCol w:w="2732"/>
      </w:tblGrid>
      <w:tr>
        <w:trPr>
          <w:cantSplit/>
          <w:tblHeader w:val="true"/>
        </w:trPr>
        <w:tc>
          <w:tcPr>
            <w:tcW w:type="dxa" w:w="1804"/>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단계</w:t>
            </w:r>
          </w:p>
        </w:tc>
        <w:tc>
          <w:tcPr>
            <w:tcW w:type="dxa" w:w="4535"/>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권장 연구설계</w:t>
            </w:r>
          </w:p>
        </w:tc>
        <w:tc>
          <w:tcPr>
            <w:tcW w:type="dxa" w:w="2732"/>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핵심 보고값</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1. 내용타당도</w:t>
            </w:r>
          </w:p>
        </w:tc>
        <w:tc>
          <w:tcPr>
            <w:tcW w:type="dxa" w:w="453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다직역 전문가 델파이 및 청소년 인지면접</w:t>
            </w:r>
          </w:p>
        </w:tc>
        <w:tc>
          <w:tcPr>
            <w:tcW w:type="dxa" w:w="273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I-CVI, S-CVI, 이해가능성·누락 영역</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2. 채점 신뢰도</w:t>
            </w:r>
          </w:p>
        </w:tc>
        <w:tc>
          <w:tcPr>
            <w:tcW w:type="dxa" w:w="453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2인 독립평가 및 경과 안정 사례 재채점</w:t>
            </w:r>
          </w:p>
        </w:tc>
        <w:tc>
          <w:tcPr>
            <w:tcW w:type="dxa" w:w="273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문항별 가중κ, 단계κ, 불일치 분석</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3. 구성·범주 검토</w:t>
            </w:r>
          </w:p>
        </w:tc>
        <w:tc>
          <w:tcPr>
            <w:tcW w:type="dxa" w:w="453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문항분포·영역 적합성·집단별 차이 분석</w:t>
            </w:r>
          </w:p>
        </w:tc>
        <w:tc>
          <w:tcPr>
            <w:tcW w:type="dxa" w:w="273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기초 분포, DIF/공정성 탐색</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4. 안전판정 적합</w:t>
            </w:r>
          </w:p>
        </w:tc>
        <w:tc>
          <w:tcPr>
            <w:tcW w:type="dxa" w:w="453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독립 전문가·실제 안전절차와 시점 비교</w:t>
            </w:r>
          </w:p>
        </w:tc>
        <w:tc>
          <w:tcPr>
            <w:tcW w:type="dxa" w:w="273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안전 누락·불필요한 상향·분석 한계</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5. 서비스 연계 효과</w:t>
            </w:r>
          </w:p>
        </w:tc>
        <w:tc>
          <w:tcPr>
            <w:tcW w:type="dxa" w:w="453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학교·복지기관 전향적 실제 이용 추적</w:t>
            </w:r>
          </w:p>
        </w:tc>
        <w:tc>
          <w:tcPr>
            <w:tcW w:type="dxa" w:w="273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접수·이용 개시·대기·반려·재의뢰</w:t>
            </w:r>
          </w:p>
        </w:tc>
      </w:tr>
      <w:tr>
        <w:trPr>
          <w:cantSplit/>
        </w:trPr>
        <w:tc>
          <w:tcPr>
            <w:tcW w:type="dxa" w:w="1804"/>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6. 현장 효과·수용성</w:t>
            </w:r>
          </w:p>
        </w:tc>
        <w:tc>
          <w:tcPr>
            <w:tcW w:type="dxa" w:w="4535"/>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준실험 또는 단계적 도입, 실무자/학생 경험</w:t>
            </w:r>
          </w:p>
        </w:tc>
        <w:tc>
          <w:tcPr>
            <w:tcW w:type="dxa" w:w="2732"/>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업무시간, 미상 감소, 학생 경험 변화</w:t>
            </w:r>
          </w:p>
        </w:tc>
      </w:tr>
    </w:tbl>
    <w:p>
      <w:pPr>
        <w:pStyle w:val="ArticleH2"/>
      </w:pPr>
      <w:r>
        <w:rPr>
          <w:rFonts w:ascii="NanumMyeongjo" w:hAnsi="NanumMyeongjo" w:eastAsia="NanumMyeongjo" w:cs="NanumMyeongjo"/>
          <w:b w:val="0"/>
          <w:i w:val="0"/>
          <w:lang w:val="ko-KR" w:eastAsia="ko-KR"/>
        </w:rPr>
        <w:t>11.2 가설과 연구지표 사전 정의</w:t>
      </w:r>
    </w:p>
    <w:p>
      <w:pPr>
        <w:pStyle w:val="ArticleTableLabel"/>
      </w:pPr>
      <w:r>
        <w:rPr>
          <w:rFonts w:ascii="NanumGothic" w:hAnsi="NanumGothic" w:eastAsia="NanumGothic" w:cs="NanumGothic"/>
          <w:b/>
          <w:sz w:val="18"/>
          <w:lang w:val="ko-KR" w:eastAsia="ko-KR"/>
        </w:rPr>
        <w:t xml:space="preserve">〈표 19〉  가설과 연구지표의 사전 정의</w:t>
      </w:r>
    </w:p>
    <w:tbl>
      <w:tblPr>
        <w:tblW w:type="auto" w:w="0"/>
        <w:jc w:val="center"/>
        <w:tblLayout w:type="fixed"/>
        <w:tblLook w:firstColumn="1" w:firstRow="1" w:lastColumn="0" w:lastRow="0" w:noHBand="0" w:noVBand="1" w:val="04A0"/>
      </w:tblPr>
      <w:tblGrid>
        <w:gridCol w:w="2216"/>
        <w:gridCol w:w="3711"/>
        <w:gridCol w:w="3144"/>
      </w:tblGrid>
      <w:tr>
        <w:trPr>
          <w:cantSplit/>
          <w:tblHeader w:val="true"/>
        </w:trPr>
        <w:tc>
          <w:tcPr>
            <w:tcW w:type="dxa" w:w="2216"/>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가설·성능영역</w:t>
            </w:r>
          </w:p>
        </w:tc>
        <w:tc>
          <w:tcPr>
            <w:tcW w:type="dxa" w:w="3711"/>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검증 가능한 운영 지표</w:t>
            </w:r>
          </w:p>
        </w:tc>
        <w:tc>
          <w:tcPr>
            <w:tcW w:type="dxa" w:w="3144"/>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주의할 점</w:t>
            </w:r>
          </w:p>
        </w:tc>
      </w:tr>
      <w:tr>
        <w:trPr>
          <w:cantSplit/>
        </w:trPr>
        <w:tc>
          <w:tcPr>
            <w:tcW w:type="dxa" w:w="221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작성 완결성 향상</w:t>
            </w:r>
          </w:p>
        </w:tc>
        <w:tc>
          <w:tcPr>
            <w:tcW w:type="dxa" w:w="371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미상 비율·누락 문항·사정지연</w:t>
            </w:r>
          </w:p>
        </w:tc>
        <w:tc>
          <w:tcPr>
            <w:tcW w:type="dxa" w:w="314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“미상”을 강제로 0점 처리하여 낮추지 말 것</w:t>
            </w:r>
          </w:p>
        </w:tc>
      </w:tr>
      <w:tr>
        <w:trPr>
          <w:cantSplit/>
        </w:trPr>
        <w:tc>
          <w:tcPr>
            <w:tcW w:type="dxa" w:w="221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지원영역 적합도</w:t>
            </w:r>
          </w:p>
        </w:tc>
        <w:tc>
          <w:tcPr>
            <w:tcW w:type="dxa" w:w="371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독립 전문가의 다중영역 판단과 비교</w:t>
            </w:r>
          </w:p>
        </w:tc>
        <w:tc>
          <w:tcPr>
            <w:tcW w:type="dxa" w:w="314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전문가 간 불일치도 함께 보고</w:t>
            </w:r>
          </w:p>
        </w:tc>
      </w:tr>
      <w:tr>
        <w:trPr>
          <w:cantSplit/>
        </w:trPr>
        <w:tc>
          <w:tcPr>
            <w:tcW w:type="dxa" w:w="221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안전 사안 누락 감소</w:t>
            </w:r>
          </w:p>
        </w:tc>
        <w:tc>
          <w:tcPr>
            <w:tcW w:type="dxa" w:w="371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시점 명시된 독립 안전사건과 대조</w:t>
            </w:r>
          </w:p>
        </w:tc>
        <w:tc>
          <w:tcPr>
            <w:tcW w:type="dxa" w:w="314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희귀 사건·신고체계 변화의 영향 고려</w:t>
            </w:r>
          </w:p>
        </w:tc>
      </w:tr>
      <w:tr>
        <w:trPr>
          <w:cantSplit/>
        </w:trPr>
        <w:tc>
          <w:tcPr>
            <w:tcW w:type="dxa" w:w="221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연계 성과 향상</w:t>
            </w:r>
          </w:p>
        </w:tc>
        <w:tc>
          <w:tcPr>
            <w:tcW w:type="dxa" w:w="371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실제 서비스 개시율·재의뢰율·대기일</w:t>
            </w:r>
          </w:p>
        </w:tc>
        <w:tc>
          <w:tcPr>
            <w:tcW w:type="dxa" w:w="314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단순 기관 노출 수와 구분</w:t>
            </w:r>
          </w:p>
        </w:tc>
      </w:tr>
      <w:tr>
        <w:trPr>
          <w:cantSplit/>
        </w:trPr>
        <w:tc>
          <w:tcPr>
            <w:tcW w:type="dxa" w:w="221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학생 체감 향상</w:t>
            </w:r>
          </w:p>
        </w:tc>
        <w:tc>
          <w:tcPr>
            <w:tcW w:type="dxa" w:w="371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안전감·교육 참여·생활 안정 지표</w:t>
            </w:r>
          </w:p>
        </w:tc>
        <w:tc>
          <w:tcPr>
            <w:tcW w:type="dxa" w:w="314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학생 의견·자기결정·부작용 함께 기록</w:t>
            </w:r>
          </w:p>
        </w:tc>
      </w:tr>
      <w:tr>
        <w:trPr>
          <w:cantSplit/>
        </w:trPr>
        <w:tc>
          <w:tcPr>
            <w:tcW w:type="dxa" w:w="2216"/>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업무 효율</w:t>
            </w:r>
          </w:p>
        </w:tc>
        <w:tc>
          <w:tcPr>
            <w:tcW w:type="dxa" w:w="3711"/>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상담·회의·계획 작성 시간 및 수정건수</w:t>
            </w:r>
          </w:p>
        </w:tc>
        <w:tc>
          <w:tcPr>
            <w:tcW w:type="dxa" w:w="3144"/>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자동 생성의 무근거 추가문장 감시</w:t>
            </w:r>
          </w:p>
        </w:tc>
      </w:tr>
    </w:tbl>
    <w:p>
      <w:pPr>
        <w:pStyle w:val="ArticleH2"/>
      </w:pPr>
      <w:r>
        <w:rPr>
          <w:rFonts w:ascii="NanumMyeongjo" w:hAnsi="NanumMyeongjo" w:eastAsia="NanumMyeongjo" w:cs="NanumMyeongjo"/>
          <w:b w:val="0"/>
          <w:i w:val="0"/>
          <w:lang w:val="ko-KR" w:eastAsia="ko-KR"/>
        </w:rPr>
        <w:t>11.3 독립 골드셋의 바람직한 설계</w:t>
      </w:r>
    </w:p>
    <w:p>
      <w:pPr>
        <w:pStyle w:val="ArticleBody"/>
        <w:jc w:val="both"/>
      </w:pPr>
      <w:r>
        <w:rPr>
          <w:rFonts w:ascii="NanumMyeongjo" w:hAnsi="NanumMyeongjo" w:eastAsia="NanumMyeongjo" w:cs="NanumMyeongjo"/>
          <w:b w:val="0"/>
          <w:i w:val="0"/>
          <w:lang w:val="ko-KR" w:eastAsia="ko-KR"/>
        </w:rPr>
        <w:t>실제 사례의 단순 원기록을 AI에 넣고 AI 결과를 정답으로 다시 학습시키는 방식은 순환논리와 개인정보 위험을 만든다. 분석에 필요한 최소한의 사례요소만 비식별화하고 시점별 원본·평가자 코딩·합의판정·서비스 기록을 분리해야 한다.</w:t>
      </w:r>
    </w:p>
    <w:p>
      <w:pPr>
        <w:pStyle w:val="ArticleBody"/>
        <w:jc w:val="both"/>
      </w:pPr>
      <w:r>
        <w:rPr>
          <w:rFonts w:ascii="NanumMyeongjo" w:hAnsi="NanumMyeongjo" w:eastAsia="NanumMyeongjo" w:cs="NanumMyeongjo"/>
          <w:b w:val="0"/>
          <w:i w:val="0"/>
          <w:lang w:val="ko-KR" w:eastAsia="ko-KR"/>
        </w:rPr>
        <w:t>전문가 판단은 최소 두 명 이상이 독립적으로 수행하고, 의견 차이는 제3의 검토자와 합의문에 기록한다. 같은 기관과 같은 개발자가 모든 참조판정·개선·재평가를 담당하지 않도록 훈련·검증·외부검증 표본을 분리한다. 안전사안의 경우 응급성 및 법적 신고의무는 별도 규정과 실제 사실에 따라 확인한다.</w:t>
      </w:r>
    </w:p>
    <w:p>
      <w:pPr>
        <w:pStyle w:val="ArticleBody"/>
        <w:jc w:val="both"/>
      </w:pPr>
      <w:r>
        <w:rPr>
          <w:rFonts w:ascii="NanumMyeongjo" w:hAnsi="NanumMyeongjo" w:eastAsia="NanumMyeongjo" w:cs="NanumMyeongjo"/>
          <w:b w:val="0"/>
          <w:i w:val="0"/>
          <w:lang w:val="ko-KR" w:eastAsia="ko-KR"/>
        </w:rPr>
        <w:t>최소 목표 표본 수를 임의로 제시하지 않고, 주 지표의 기대 발생률, 신뢰구간 폭, 관찰 가능한 사건 수, 기관별 군집효과 및 탈락률을 고려한 별도 표본수 계산이 필요하다.</w:t>
      </w:r>
    </w:p>
    <w:p>
      <w:pPr>
        <w:pStyle w:val="ArticleH1"/>
      </w:pPr>
      <w:r>
        <w:rPr>
          <w:rFonts w:ascii="NanumMyeongjo" w:hAnsi="NanumMyeongjo" w:eastAsia="NanumMyeongjo" w:cs="NanumMyeongjo"/>
          <w:b w:val="0"/>
          <w:i w:val="0"/>
          <w:lang w:val="ko-KR" w:eastAsia="ko-KR"/>
        </w:rPr>
        <w:t>12. 법·윤리·개인정보와 실제 운영의 제약</w:t>
      </w:r>
    </w:p>
    <w:p>
      <w:pPr>
        <w:pStyle w:val="ArticleBody"/>
        <w:jc w:val="both"/>
      </w:pPr>
      <w:r>
        <w:rPr>
          <w:rFonts w:ascii="NanumMyeongjo" w:hAnsi="NanumMyeongjo" w:eastAsia="NanumMyeongjo" w:cs="NanumMyeongjo"/>
          <w:b w:val="0"/>
          <w:i w:val="0"/>
          <w:lang w:val="ko-KR" w:eastAsia="ko-KR"/>
        </w:rPr>
        <w:t>학생맞춤통합지원법과 2026년 교육부 안내는 학교와 교육청, 지역사회 간 협력의 방향을 제시한다. 다만 사례정보 공유, 보호자 연락, 의료기관 정보전달, 학교 행정시스템 연계는 각각 법적 근거, 최소수집, 접근권한과 기록보존 범위의 검토가 필요하다.</w:t>
      </w:r>
    </w:p>
    <w:p>
      <w:pPr>
        <w:pStyle w:val="ArticleBody"/>
        <w:jc w:val="both"/>
      </w:pPr>
      <w:r>
        <w:rPr>
          <w:rFonts w:ascii="NanumMyeongjo" w:hAnsi="NanumMyeongjo" w:eastAsia="NanumMyeongjo" w:cs="NanumMyeongjo"/>
          <w:b w:val="0"/>
          <w:i w:val="0"/>
          <w:lang w:val="ko-KR" w:eastAsia="ko-KR"/>
        </w:rPr>
        <w:t>민감정보가 포함된 사례 자료는 개인식별자 대신 사례번호로 처리하고, 원자료와 검수본을 별도 보호한다. 공개 GitHub Pages에 실제 학생 상담기록이나 개인 건강·가족·경제정보를 올려서는 안 된다. 파일 다운로드·인쇄·외부 AI 복사 이전에는 담당자가 가림과 최소화 여부를 확인한다.</w:t>
      </w:r>
    </w:p>
    <w:p>
      <w:pPr>
        <w:pStyle w:val="ArticleBody"/>
        <w:jc w:val="both"/>
      </w:pPr>
      <w:r>
        <w:rPr>
          <w:rFonts w:ascii="NanumMyeongjo" w:hAnsi="NanumMyeongjo" w:eastAsia="NanumMyeongjo" w:cs="NanumMyeongjo"/>
          <w:b w:val="0"/>
          <w:i w:val="0"/>
          <w:lang w:val="ko-KR" w:eastAsia="ko-KR"/>
        </w:rPr>
        <w:t>일반적 보호자 연락이 학생의 현재 안전을 위협할 가능성이 있으면 안전한 연락 범위를 사안별 보호 담당과 협의한다. 학생의 자기결정권을 존중하되 법정 신고·응급처치 의무를 면제하지 않는다.</w:t>
      </w:r>
    </w:p>
    <w:p>
      <w:pPr>
        <w:pStyle w:val="ArticleH2"/>
      </w:pPr>
      <w:r>
        <w:rPr>
          <w:rFonts w:ascii="NanumMyeongjo" w:hAnsi="NanumMyeongjo" w:eastAsia="NanumMyeongjo" w:cs="NanumMyeongjo"/>
          <w:b w:val="0"/>
          <w:i w:val="0"/>
          <w:lang w:val="ko-KR" w:eastAsia="ko-KR"/>
        </w:rPr>
        <w:t>12.1 시스템 품질·보안 운영 체크</w:t>
      </w:r>
    </w:p>
    <w:p>
      <w:pPr>
        <w:pStyle w:val="ArticleSmall"/>
      </w:pPr>
      <w:r>
        <w:rPr>
          <w:rFonts w:ascii="NanumMyeongjo" w:hAnsi="NanumMyeongjo" w:eastAsia="NanumMyeongjo" w:cs="NanumMyeongjo"/>
          <w:b w:val="0"/>
          <w:i w:val="0"/>
          <w:lang w:val="ko-KR" w:eastAsia="ko-KR"/>
        </w:rPr>
        <w:t>• CORE 불변 회귀: 원점수·미상·안전·지원단계 계산을 버전별 검수한다.</w:t>
      </w:r>
    </w:p>
    <w:p>
      <w:pPr>
        <w:pStyle w:val="ArticleSmall"/>
      </w:pPr>
      <w:r>
        <w:rPr>
          <w:rFonts w:ascii="NanumMyeongjo" w:hAnsi="NanumMyeongjo" w:eastAsia="NanumMyeongjo" w:cs="NanumMyeongjo"/>
          <w:b w:val="0"/>
          <w:i w:val="0"/>
          <w:lang w:val="ko-KR" w:eastAsia="ko-KR"/>
        </w:rPr>
        <w:t>• 개별 자원에는 공식 출처·실제 확인일·검증 범위·만료일을 함께 관리한다.</w:t>
      </w:r>
    </w:p>
    <w:p>
      <w:pPr>
        <w:pStyle w:val="ArticleSmall"/>
      </w:pPr>
      <w:r>
        <w:rPr>
          <w:rFonts w:ascii="NanumMyeongjo" w:hAnsi="NanumMyeongjo" w:eastAsia="NanumMyeongjo" w:cs="NanumMyeongjo"/>
          <w:b w:val="0"/>
          <w:i w:val="0"/>
          <w:lang w:val="ko-KR" w:eastAsia="ko-KR"/>
        </w:rPr>
        <w:t>• 추천→문의→접수→실제 제공 사이 단계별 증거를 남긴다.</w:t>
      </w:r>
    </w:p>
    <w:p>
      <w:pPr>
        <w:pStyle w:val="ArticleSmall"/>
      </w:pPr>
      <w:r>
        <w:rPr>
          <w:rFonts w:ascii="NanumMyeongjo" w:hAnsi="NanumMyeongjo" w:eastAsia="NanumMyeongjo" w:cs="NanumMyeongjo"/>
          <w:b w:val="0"/>
          <w:i w:val="0"/>
          <w:lang w:val="ko-KR" w:eastAsia="ko-KR"/>
        </w:rPr>
        <w:t>• 이용 기관·서비스가 중단되면 이전 이력을 보존하고 대체경로를 제시한다.</w:t>
      </w:r>
    </w:p>
    <w:p>
      <w:pPr>
        <w:pStyle w:val="ArticleSmall"/>
      </w:pPr>
      <w:r>
        <w:rPr>
          <w:rFonts w:ascii="NanumMyeongjo" w:hAnsi="NanumMyeongjo" w:eastAsia="NanumMyeongjo" w:cs="NanumMyeongjo"/>
          <w:b w:val="0"/>
          <w:i w:val="0"/>
          <w:lang w:val="ko-KR" w:eastAsia="ko-KR"/>
        </w:rPr>
        <w:t>• 문항과 결과에 미상·근거 부족·가정의 표시를 유지하며 임상진단·신고 판단을 자동 확정하지 않는다.</w:t>
      </w:r>
    </w:p>
    <w:p>
      <w:pPr>
        <w:pStyle w:val="ArticleSmall"/>
      </w:pPr>
      <w:r>
        <w:rPr>
          <w:rFonts w:ascii="NanumMyeongjo" w:hAnsi="NanumMyeongjo" w:eastAsia="NanumMyeongjo" w:cs="NanumMyeongjo"/>
          <w:b w:val="0"/>
          <w:i w:val="0"/>
          <w:lang w:val="ko-KR" w:eastAsia="ko-KR"/>
        </w:rPr>
        <w:t>• 사용자 동의·정보공유 권한·로그 공개범위·접근등급을 기관 규정과 함께 설계한다.</w:t>
      </w:r>
    </w:p>
    <w:p>
      <w:pPr>
        <w:pStyle w:val="ArticleSmall"/>
      </w:pPr>
      <w:r>
        <w:rPr>
          <w:rFonts w:ascii="NanumMyeongjo" w:hAnsi="NanumMyeongjo" w:eastAsia="NanumMyeongjo" w:cs="NanumMyeongjo"/>
          <w:b w:val="0"/>
          <w:i w:val="0"/>
          <w:lang w:val="ko-KR" w:eastAsia="ko-KR"/>
        </w:rPr>
        <w:t>• 운영 오류·연계 실패·학생 불편·과도한 재접촉을 모두 품질개선 항목으로 다룬다.</w:t>
      </w:r>
    </w:p>
    <w:p>
      <w:pPr>
        <w:pStyle w:val="ArticleH1"/>
      </w:pPr>
      <w:r>
        <w:rPr>
          <w:rFonts w:ascii="NanumMyeongjo" w:hAnsi="NanumMyeongjo" w:eastAsia="NanumMyeongjo" w:cs="NanumMyeongjo"/>
          <w:b w:val="0"/>
          <w:i w:val="0"/>
          <w:lang w:val="ko-KR" w:eastAsia="ko-KR"/>
        </w:rPr>
        <w:t>13. 실제 업무 상황을 가정한 재현 사례</w:t>
      </w:r>
    </w:p>
    <w:p>
      <w:pPr>
        <w:pStyle w:val="ArticleH2"/>
      </w:pPr>
      <w:r>
        <w:rPr>
          <w:rFonts w:ascii="NanumMyeongjo" w:hAnsi="NanumMyeongjo" w:eastAsia="NanumMyeongjo" w:cs="NanumMyeongjo"/>
          <w:b w:val="0"/>
          <w:i w:val="0"/>
          <w:lang w:val="ko-KR" w:eastAsia="ko-KR"/>
        </w:rPr>
        <w:t>사례 1. 예시 A · 단일 경미 신호</w:t>
      </w:r>
    </w:p>
    <w:p>
      <w:pPr>
        <w:pStyle w:val="ArticleSmall"/>
      </w:pPr>
      <w:r>
        <w:rPr>
          <w:rFonts w:ascii="NanumMyeongjo" w:hAnsi="NanumMyeongjo" w:eastAsia="NanumMyeongjo" w:cs="NanumMyeongjo"/>
          <w:b w:val="0"/>
          <w:i w:val="0"/>
          <w:lang w:val="ko-KR" w:eastAsia="ko-KR"/>
        </w:rPr>
        <w:t>가상 응답: Q6=1 / 확인점수 합계 1 / 미상 0개</w:t>
      </w:r>
    </w:p>
    <w:p>
      <w:pPr>
        <w:pStyle w:val="ArticleSmall"/>
      </w:pPr>
      <w:r>
        <w:rPr>
          <w:rFonts w:ascii="NanumMyeongjo" w:hAnsi="NanumMyeongjo" w:eastAsia="NanumMyeongjo" w:cs="NanumMyeongjo"/>
          <w:b w:val="0"/>
          <w:i w:val="0"/>
          <w:lang w:val="ko-KR" w:eastAsia="ko-KR"/>
        </w:rPr>
        <w:t xml:space="preserve">CORE 재현: 지원집중 0영역, 3~4점 문항 0개, 계산 단계 0. 안전문항 양성 없음, 추가확인 미완료 없음.</w:t>
      </w:r>
    </w:p>
    <w:p>
      <w:pPr>
        <w:pStyle w:val="ArticleSmall"/>
      </w:pPr>
      <w:r>
        <w:rPr>
          <w:rFonts w:ascii="NanumMyeongjo" w:hAnsi="NanumMyeongjo" w:eastAsia="NanumMyeongjo" w:cs="NanumMyeongjo"/>
          <w:b w:val="0"/>
          <w:i w:val="0"/>
          <w:lang w:val="ko-KR" w:eastAsia="ko-KR"/>
        </w:rPr>
        <w:t xml:space="preserve">해석지 표시(2026.10.26 코드 재실행): 개입 수준 관찰·예방 · 요약 관찰·예방 수준 · 이번 응답의 안전 신호 없음. 첫 행동: 학생이 편하게 도움을 청할 사람과 다음 만남 날짜를 정합니다.</w:t>
      </w:r>
    </w:p>
    <w:p>
      <w:pPr>
        <w:pStyle w:val="ArticleSmall"/>
      </w:pPr>
      <w:r>
        <w:rPr>
          <w:rFonts w:ascii="NanumMyeongjo" w:hAnsi="NanumMyeongjo" w:eastAsia="NanumMyeongjo" w:cs="NanumMyeongjo"/>
          <w:b w:val="0"/>
          <w:i w:val="0"/>
          <w:lang w:val="ko-KR" w:eastAsia="ko-KR"/>
        </w:rPr>
        <w:t>해석과 첫 행동: 6번을 직접 확인하고 원인이 아닌 현재 생활 영향을 듣습니다. 기관 문의·접수·서비스 시작 여부는 이 가상 점수만으로 정해지지 않는다. 학생 희망, 현재 안전, 기존 지원과 지역자원 접수상태를 실제 면담에서 확인해야 한다.</w:t>
      </w:r>
    </w:p>
    <w:p>
      <w:pPr>
        <w:pStyle w:val="ArticleH2"/>
      </w:pPr>
      <w:r>
        <w:rPr>
          <w:rFonts w:ascii="NanumMyeongjo" w:hAnsi="NanumMyeongjo" w:eastAsia="NanumMyeongjo" w:cs="NanumMyeongjo"/>
          <w:b w:val="0"/>
          <w:i w:val="0"/>
          <w:lang w:val="ko-KR" w:eastAsia="ko-KR"/>
        </w:rPr>
        <w:t>사례 2. 예시 B · 단일 심한 학습 신호</w:t>
      </w:r>
    </w:p>
    <w:p>
      <w:pPr>
        <w:pStyle w:val="ArticleSmall"/>
      </w:pPr>
      <w:r>
        <w:rPr>
          <w:rFonts w:ascii="NanumMyeongjo" w:hAnsi="NanumMyeongjo" w:eastAsia="NanumMyeongjo" w:cs="NanumMyeongjo"/>
          <w:b w:val="0"/>
          <w:i w:val="0"/>
          <w:lang w:val="ko-KR" w:eastAsia="ko-KR"/>
        </w:rPr>
        <w:t>가상 응답: Q10=4 / 확인점수 합계 4 / 미상 0개</w:t>
      </w:r>
    </w:p>
    <w:p>
      <w:pPr>
        <w:pStyle w:val="ArticleSmall"/>
      </w:pPr>
      <w:r>
        <w:rPr>
          <w:rFonts w:ascii="NanumMyeongjo" w:hAnsi="NanumMyeongjo" w:eastAsia="NanumMyeongjo" w:cs="NanumMyeongjo"/>
          <w:b w:val="0"/>
          <w:i w:val="0"/>
          <w:lang w:val="ko-KR" w:eastAsia="ko-KR"/>
        </w:rPr>
        <w:t xml:space="preserve">CORE 재현: 지원집중 1영역, 3~4점 문항 1개, 계산 단계 1. 안전문항 양성 없음, 추가확인 미완료 없음.</w:t>
      </w:r>
    </w:p>
    <w:p>
      <w:pPr>
        <w:pStyle w:val="ArticleSmall"/>
      </w:pPr>
      <w:r>
        <w:rPr>
          <w:rFonts w:ascii="NanumMyeongjo" w:hAnsi="NanumMyeongjo" w:eastAsia="NanumMyeongjo" w:cs="NanumMyeongjo"/>
          <w:b w:val="0"/>
          <w:i w:val="0"/>
          <w:lang w:val="ko-KR" w:eastAsia="ko-KR"/>
        </w:rPr>
        <w:t xml:space="preserve">해석지 표시(2026.10.26 코드 재실행): 개입 수준 단기 개별지원 · 요약 개별영역 지원 수준 · 이번 응답의 안전 신호 없음. 첫 행동: 기초학력 지원·멘토링·방과후 학습을 연결합니다.</w:t>
      </w:r>
    </w:p>
    <w:p>
      <w:pPr>
        <w:pStyle w:val="ArticleSmall"/>
      </w:pPr>
      <w:r>
        <w:rPr>
          <w:rFonts w:ascii="NanumMyeongjo" w:hAnsi="NanumMyeongjo" w:eastAsia="NanumMyeongjo" w:cs="NanumMyeongjo"/>
          <w:b w:val="0"/>
          <w:i w:val="0"/>
          <w:lang w:val="ko-KR" w:eastAsia="ko-KR"/>
        </w:rPr>
        <w:t>해석과 첫 행동: 합계가 낮아도 학습 접근·기초학습 지원 필요를 독립 검토합니다. 기관 문의·접수·서비스 시작 여부는 이 가상 점수만으로 정해지지 않는다. 학생 희망, 현재 안전, 기존 지원과 지역자원 접수상태를 실제 면담에서 확인해야 한다.</w:t>
      </w:r>
    </w:p>
    <w:p>
      <w:pPr>
        <w:pStyle w:val="ArticleH2"/>
      </w:pPr>
      <w:r>
        <w:rPr>
          <w:rFonts w:ascii="NanumMyeongjo" w:hAnsi="NanumMyeongjo" w:eastAsia="NanumMyeongjo" w:cs="NanumMyeongjo"/>
          <w:b w:val="0"/>
          <w:i w:val="0"/>
          <w:lang w:val="ko-KR" w:eastAsia="ko-KR"/>
        </w:rPr>
        <w:t>사례 3. 예시 C · 정서·학습의 복합성</w:t>
      </w:r>
    </w:p>
    <w:p>
      <w:pPr>
        <w:pStyle w:val="ArticleSmall"/>
      </w:pPr>
      <w:r>
        <w:rPr>
          <w:rFonts w:ascii="NanumMyeongjo" w:hAnsi="NanumMyeongjo" w:eastAsia="NanumMyeongjo" w:cs="NanumMyeongjo"/>
          <w:b w:val="0"/>
          <w:i w:val="0"/>
          <w:lang w:val="ko-KR" w:eastAsia="ko-KR"/>
        </w:rPr>
        <w:t>가상 응답: Q6=3, Q10=3 / 확인점수 합계 6 / 미상 0개</w:t>
      </w:r>
    </w:p>
    <w:p>
      <w:pPr>
        <w:pStyle w:val="ArticleSmall"/>
      </w:pPr>
      <w:r>
        <w:rPr>
          <w:rFonts w:ascii="NanumMyeongjo" w:hAnsi="NanumMyeongjo" w:eastAsia="NanumMyeongjo" w:cs="NanumMyeongjo"/>
          <w:b w:val="0"/>
          <w:i w:val="0"/>
          <w:lang w:val="ko-KR" w:eastAsia="ko-KR"/>
        </w:rPr>
        <w:t xml:space="preserve">CORE 재현: 지원집중 2영역, 3~4점 문항 2개, 계산 단계 2. 안전문항 양성 없음, 추가확인 미완료 없음.</w:t>
      </w:r>
    </w:p>
    <w:p>
      <w:pPr>
        <w:pStyle w:val="ArticleSmall"/>
      </w:pPr>
      <w:r>
        <w:rPr>
          <w:rFonts w:ascii="NanumMyeongjo" w:hAnsi="NanumMyeongjo" w:eastAsia="NanumMyeongjo" w:cs="NanumMyeongjo"/>
          <w:b w:val="0"/>
          <w:i w:val="0"/>
          <w:lang w:val="ko-KR" w:eastAsia="ko-KR"/>
        </w:rPr>
        <w:t xml:space="preserve">해석지 표시(2026.10.26 코드 재실행): 개입 수준 일반 사례관리 (학교·복지 협력) · 요약 복합욕구 조정 수준 · 이번 응답의 안전 신호 없음. 첫 행동: Wee클래스·상담 연계와 함께 학생이 편한 시간에 만나는 정기 면담을 시작합니다.</w:t>
      </w:r>
    </w:p>
    <w:p>
      <w:pPr>
        <w:pStyle w:val="ArticleSmall"/>
      </w:pPr>
      <w:r>
        <w:rPr>
          <w:rFonts w:ascii="NanumMyeongjo" w:hAnsi="NanumMyeongjo" w:eastAsia="NanumMyeongjo" w:cs="NanumMyeongjo"/>
          <w:b w:val="0"/>
          <w:i w:val="0"/>
          <w:lang w:val="ko-KR" w:eastAsia="ko-KR"/>
        </w:rPr>
        <w:t>해석과 첫 행동: 두 개 지원집중 영역이므로 교내 협의 가능성과 우선 지원을 검토합니다. 기관 문의·접수·서비스 시작 여부는 이 가상 점수만으로 정해지지 않는다. 학생 희망, 현재 안전, 기존 지원과 지역자원 접수상태를 실제 면담에서 확인해야 한다.</w:t>
      </w:r>
    </w:p>
    <w:p>
      <w:pPr>
        <w:pStyle w:val="ArticleH2"/>
      </w:pPr>
      <w:r>
        <w:rPr>
          <w:rFonts w:ascii="NanumMyeongjo" w:hAnsi="NanumMyeongjo" w:eastAsia="NanumMyeongjo" w:cs="NanumMyeongjo"/>
          <w:b w:val="0"/>
          <w:i w:val="0"/>
          <w:lang w:val="ko-KR" w:eastAsia="ko-KR"/>
        </w:rPr>
        <w:t>사례 4. 예시 D · 낮은 점수의 자해 표현</w:t>
      </w:r>
    </w:p>
    <w:p>
      <w:pPr>
        <w:pStyle w:val="ArticleSmall"/>
      </w:pPr>
      <w:r>
        <w:rPr>
          <w:rFonts w:ascii="NanumMyeongjo" w:hAnsi="NanumMyeongjo" w:eastAsia="NanumMyeongjo" w:cs="NanumMyeongjo"/>
          <w:b w:val="0"/>
          <w:i w:val="0"/>
          <w:lang w:val="ko-KR" w:eastAsia="ko-KR"/>
        </w:rPr>
        <w:t>가상 응답: Q7=1 / 확인점수 합계 1 / 미상 0개</w:t>
      </w:r>
    </w:p>
    <w:p>
      <w:pPr>
        <w:pStyle w:val="ArticleSmall"/>
      </w:pPr>
      <w:r>
        <w:rPr>
          <w:rFonts w:ascii="NanumMyeongjo" w:hAnsi="NanumMyeongjo" w:eastAsia="NanumMyeongjo" w:cs="NanumMyeongjo"/>
          <w:b w:val="0"/>
          <w:i w:val="0"/>
          <w:lang w:val="ko-KR" w:eastAsia="ko-KR"/>
        </w:rPr>
        <w:t xml:space="preserve">CORE 재현: 지원집중 0영역, 3~4점 문항 0개, 계산 단계 0. 안전문항 양성 7번, 추가확인 미완료 없음.</w:t>
      </w:r>
    </w:p>
    <w:p>
      <w:pPr>
        <w:pStyle w:val="ArticleSmall"/>
      </w:pPr>
      <w:r>
        <w:rPr>
          <w:rFonts w:ascii="NanumMyeongjo" w:hAnsi="NanumMyeongjo" w:eastAsia="NanumMyeongjo" w:cs="NanumMyeongjo"/>
          <w:b w:val="0"/>
          <w:i w:val="0"/>
          <w:lang w:val="ko-KR" w:eastAsia="ko-KR"/>
        </w:rPr>
        <w:t xml:space="preserve">해석지 표시(2026.10.26 코드 재실행): 개입 수준 단기 개별지원 · 요약 관찰·예방 수준 · 안전 확인 우선. 첫 행동: 오늘 안에 자해·죽음 관련 안전 신호의 현재 상황을 직접 안전 면담으로 확인합니다.</w:t>
      </w:r>
    </w:p>
    <w:p>
      <w:pPr>
        <w:pStyle w:val="ArticleSmall"/>
      </w:pPr>
      <w:r>
        <w:rPr>
          <w:rFonts w:ascii="NanumMyeongjo" w:hAnsi="NanumMyeongjo" w:eastAsia="NanumMyeongjo" w:cs="NanumMyeongjo"/>
          <w:b w:val="0"/>
          <w:i w:val="0"/>
          <w:lang w:val="ko-KR" w:eastAsia="ko-KR"/>
        </w:rPr>
        <w:t>해석과 첫 행동: 1점이어도 현재 위험을 직접 확인합니다. 응급 여부는 별도 사정합니다. 기관 문의·접수·서비스 시작 여부는 이 가상 점수만으로 정해지지 않는다. 학생 희망, 현재 안전, 기존 지원과 지역자원 접수상태를 실제 면담에서 확인해야 한다.</w:t>
      </w:r>
    </w:p>
    <w:p>
      <w:pPr>
        <w:pStyle w:val="ArticleH2"/>
      </w:pPr>
      <w:r>
        <w:rPr>
          <w:rFonts w:ascii="NanumMyeongjo" w:hAnsi="NanumMyeongjo" w:eastAsia="NanumMyeongjo" w:cs="NanumMyeongjo"/>
          <w:b w:val="0"/>
          <w:i w:val="0"/>
          <w:lang w:val="ko-KR" w:eastAsia="ko-KR"/>
        </w:rPr>
        <w:t>사례 5. 예시 E · 조건부 추가 안전확인 미완료</w:t>
      </w:r>
    </w:p>
    <w:p>
      <w:pPr>
        <w:pStyle w:val="ArticleSmall"/>
      </w:pPr>
      <w:r>
        <w:rPr>
          <w:rFonts w:ascii="NanumMyeongjo" w:hAnsi="NanumMyeongjo" w:eastAsia="NanumMyeongjo" w:cs="NanumMyeongjo"/>
          <w:b w:val="0"/>
          <w:i w:val="0"/>
          <w:lang w:val="ko-KR" w:eastAsia="ko-KR"/>
        </w:rPr>
        <w:t>가상 응답: Q4=1 / 확인점수 합계 1 / 미상 0개</w:t>
      </w:r>
    </w:p>
    <w:p>
      <w:pPr>
        <w:pStyle w:val="ArticleSmall"/>
      </w:pPr>
      <w:r>
        <w:rPr>
          <w:rFonts w:ascii="NanumMyeongjo" w:hAnsi="NanumMyeongjo" w:eastAsia="NanumMyeongjo" w:cs="NanumMyeongjo"/>
          <w:b w:val="0"/>
          <w:i w:val="0"/>
          <w:lang w:val="ko-KR" w:eastAsia="ko-KR"/>
        </w:rPr>
        <w:t xml:space="preserve">CORE 재현: 지원집중 0영역, 3~4점 문항 0개, 계산 단계 0. 안전문항 양성 없음, 추가확인 미완료 4번.</w:t>
      </w:r>
    </w:p>
    <w:p>
      <w:pPr>
        <w:pStyle w:val="ArticleSmall"/>
      </w:pPr>
      <w:r>
        <w:rPr>
          <w:rFonts w:ascii="NanumMyeongjo" w:hAnsi="NanumMyeongjo" w:eastAsia="NanumMyeongjo" w:cs="NanumMyeongjo"/>
          <w:b w:val="0"/>
          <w:i w:val="0"/>
          <w:lang w:val="ko-KR" w:eastAsia="ko-KR"/>
        </w:rPr>
        <w:t xml:space="preserve">해석지 표시(2026.10.26 코드 재실행): 개입 수준 집중 사례관리 (다기관) · 요약 안전 추가확인 대기 · 관찰·예방 수준 · 안전 확인 미완료. 첫 행동: 오늘 안에 강요·협박·착취의 현재 위험 여부를 확인해 추가확인을 마칩니다.</w:t>
      </w:r>
    </w:p>
    <w:p>
      <w:pPr>
        <w:pStyle w:val="ArticleSmall"/>
      </w:pPr>
      <w:r>
        <w:rPr>
          <w:rFonts w:ascii="NanumMyeongjo" w:hAnsi="NanumMyeongjo" w:eastAsia="NanumMyeongjo" w:cs="NanumMyeongjo"/>
          <w:b w:val="0"/>
          <w:i w:val="0"/>
          <w:lang w:val="ko-KR" w:eastAsia="ko-KR"/>
        </w:rPr>
        <w:t>해석과 첫 행동: 4번 1점 이상으로 현재 협박·보호 필요 질문을 완료해야 합니다. 기관 문의·접수·서비스 시작 여부는 이 가상 점수만으로 정해지지 않는다. 학생 희망, 현재 안전, 기존 지원과 지역자원 접수상태를 실제 면담에서 확인해야 한다.</w:t>
      </w:r>
    </w:p>
    <w:p>
      <w:pPr>
        <w:pStyle w:val="ArticleH2"/>
      </w:pPr>
      <w:r>
        <w:rPr>
          <w:rFonts w:ascii="NanumMyeongjo" w:hAnsi="NanumMyeongjo" w:eastAsia="NanumMyeongjo" w:cs="NanumMyeongjo"/>
          <w:b w:val="0"/>
          <w:i w:val="0"/>
          <w:lang w:val="ko-KR" w:eastAsia="ko-KR"/>
        </w:rPr>
        <w:t>사례 6. 예시 F · 기본생활+돌봄 부족</w:t>
      </w:r>
    </w:p>
    <w:p>
      <w:pPr>
        <w:pStyle w:val="ArticleSmall"/>
      </w:pPr>
      <w:r>
        <w:rPr>
          <w:rFonts w:ascii="NanumMyeongjo" w:hAnsi="NanumMyeongjo" w:eastAsia="NanumMyeongjo" w:cs="NanumMyeongjo"/>
          <w:b w:val="0"/>
          <w:i w:val="0"/>
          <w:lang w:val="ko-KR" w:eastAsia="ko-KR"/>
        </w:rPr>
        <w:t>가상 응답: Q16=3, Q19=3, Q20=3 / 확인점수 합계 9 / 미상 0개</w:t>
      </w:r>
    </w:p>
    <w:p>
      <w:pPr>
        <w:pStyle w:val="ArticleSmall"/>
      </w:pPr>
      <w:r>
        <w:rPr>
          <w:rFonts w:ascii="NanumMyeongjo" w:hAnsi="NanumMyeongjo" w:eastAsia="NanumMyeongjo" w:cs="NanumMyeongjo"/>
          <w:b w:val="0"/>
          <w:i w:val="0"/>
          <w:lang w:val="ko-KR" w:eastAsia="ko-KR"/>
        </w:rPr>
        <w:t xml:space="preserve">CORE 재현: 지원집중 2영역, 3~4점 문항 3개, 계산 단계 2. 안전문항 양성 없음, 추가확인 미완료 없음.</w:t>
      </w:r>
    </w:p>
    <w:p>
      <w:pPr>
        <w:pStyle w:val="ArticleSmall"/>
      </w:pPr>
      <w:r>
        <w:rPr>
          <w:rFonts w:ascii="NanumMyeongjo" w:hAnsi="NanumMyeongjo" w:eastAsia="NanumMyeongjo" w:cs="NanumMyeongjo"/>
          <w:b w:val="0"/>
          <w:i w:val="0"/>
          <w:lang w:val="ko-KR" w:eastAsia="ko-KR"/>
        </w:rPr>
        <w:t xml:space="preserve">해석지 표시(2026.10.26 코드 재실행): 개입 수준 일반 사례관리 (학교·복지 협력) · 요약 복합욕구 조정 수준 · 이번 응답의 안전 신호 없음. 첫 행동: 방과후·돌봄 프로그램과 급식 지원을 연결합니다.</w:t>
      </w:r>
    </w:p>
    <w:p>
      <w:pPr>
        <w:pStyle w:val="ArticleSmall"/>
      </w:pPr>
      <w:r>
        <w:rPr>
          <w:rFonts w:ascii="NanumMyeongjo" w:hAnsi="NanumMyeongjo" w:eastAsia="NanumMyeongjo" w:cs="NanumMyeongjo"/>
          <w:b w:val="0"/>
          <w:i w:val="0"/>
          <w:lang w:val="ko-KR" w:eastAsia="ko-KR"/>
        </w:rPr>
        <w:t>해석과 첫 행동: 돌봄/경제 두 개 집중영역이므로 3단계가 아니라 2단계입니다. 기관 문의·접수·서비스 시작 여부는 이 가상 점수만으로 정해지지 않는다. 학생 희망, 현재 안전, 기존 지원과 지역자원 접수상태를 실제 면담에서 확인해야 한다.</w:t>
      </w:r>
    </w:p>
    <w:p>
      <w:pPr>
        <w:pStyle w:val="ArticleH2"/>
      </w:pPr>
      <w:r>
        <w:rPr>
          <w:rFonts w:ascii="NanumMyeongjo" w:hAnsi="NanumMyeongjo" w:eastAsia="NanumMyeongjo" w:cs="NanumMyeongjo"/>
          <w:b w:val="0"/>
          <w:i w:val="0"/>
          <w:lang w:val="ko-KR" w:eastAsia="ko-KR"/>
        </w:rPr>
        <w:t>사례 7. 예시 G · 3개 집중영역 고득점</w:t>
      </w:r>
    </w:p>
    <w:p>
      <w:pPr>
        <w:pStyle w:val="ArticleSmall"/>
      </w:pPr>
      <w:r>
        <w:rPr>
          <w:rFonts w:ascii="NanumMyeongjo" w:hAnsi="NanumMyeongjo" w:eastAsia="NanumMyeongjo" w:cs="NanumMyeongjo"/>
          <w:b w:val="0"/>
          <w:i w:val="0"/>
          <w:lang w:val="ko-KR" w:eastAsia="ko-KR"/>
        </w:rPr>
        <w:t>가상 응답: Q6=3, Q9=3, Q19=3 / 확인점수 합계 9 / 미상 0개</w:t>
      </w:r>
    </w:p>
    <w:p>
      <w:pPr>
        <w:pStyle w:val="ArticleSmall"/>
      </w:pPr>
      <w:r>
        <w:rPr>
          <w:rFonts w:ascii="NanumMyeongjo" w:hAnsi="NanumMyeongjo" w:eastAsia="NanumMyeongjo" w:cs="NanumMyeongjo"/>
          <w:b w:val="0"/>
          <w:i w:val="0"/>
          <w:lang w:val="ko-KR" w:eastAsia="ko-KR"/>
        </w:rPr>
        <w:t xml:space="preserve">CORE 재현: 지원집중 3영역, 3~4점 문항 3개, 계산 단계 3. 안전문항 양성 없음, 추가확인 미완료 없음.</w:t>
      </w:r>
    </w:p>
    <w:p>
      <w:pPr>
        <w:pStyle w:val="ArticleSmall"/>
      </w:pPr>
      <w:r>
        <w:rPr>
          <w:rFonts w:ascii="NanumMyeongjo" w:hAnsi="NanumMyeongjo" w:eastAsia="NanumMyeongjo" w:cs="NanumMyeongjo"/>
          <w:b w:val="0"/>
          <w:i w:val="0"/>
          <w:lang w:val="ko-KR" w:eastAsia="ko-KR"/>
        </w:rPr>
        <w:t xml:space="preserve">해석지 표시(2026.10.26 코드 재실행): 개입 수준 집중 사례관리 (다기관) · 요약 다기관 집중검토 수준 · 이번 응답의 안전 신호 없음 · 교차 패턴 기본생활 결핍–참여 제약 패턴. 첫 행동: 학교 물품 지원을 조용히 먼저 제공하고, 가구 단위 생계 지원을 연결합니다.</w:t>
      </w:r>
    </w:p>
    <w:p>
      <w:pPr>
        <w:pStyle w:val="ArticleSmall"/>
      </w:pPr>
      <w:r>
        <w:rPr>
          <w:rFonts w:ascii="NanumMyeongjo" w:hAnsi="NanumMyeongjo" w:eastAsia="NanumMyeongjo" w:cs="NanumMyeongjo"/>
          <w:b w:val="0"/>
          <w:i w:val="0"/>
          <w:lang w:val="ko-KR" w:eastAsia="ko-KR"/>
        </w:rPr>
        <w:t>해석과 첫 행동: 3개 집중영역, 3개 3점 문항 조건을 모두 만족합니다. 기관 문의·접수·서비스 시작 여부는 이 가상 점수만으로 정해지지 않는다. 학생 희망, 현재 안전, 기존 지원과 지역자원 접수상태를 실제 면담에서 확인해야 한다.</w:t>
      </w:r>
    </w:p>
    <w:p>
      <w:pPr>
        <w:pStyle w:val="ArticleH2"/>
      </w:pPr>
      <w:r>
        <w:rPr>
          <w:rFonts w:ascii="NanumMyeongjo" w:hAnsi="NanumMyeongjo" w:eastAsia="NanumMyeongjo" w:cs="NanumMyeongjo"/>
          <w:b w:val="0"/>
          <w:i w:val="0"/>
          <w:lang w:val="ko-KR" w:eastAsia="ko-KR"/>
        </w:rPr>
        <w:t>사례 8. 예시 H · 미상 안전문항</w:t>
      </w:r>
    </w:p>
    <w:p>
      <w:pPr>
        <w:pStyle w:val="ArticleSmall"/>
      </w:pPr>
      <w:r>
        <w:rPr>
          <w:rFonts w:ascii="NanumMyeongjo" w:hAnsi="NanumMyeongjo" w:eastAsia="NanumMyeongjo" w:cs="NanumMyeongjo"/>
          <w:b w:val="0"/>
          <w:i w:val="0"/>
          <w:lang w:val="ko-KR" w:eastAsia="ko-KR"/>
        </w:rPr>
        <w:t xml:space="preserve">가상 응답: Q7=미상 / 확인점수 합계 0 / 미상 1개</w:t>
      </w:r>
    </w:p>
    <w:p>
      <w:pPr>
        <w:pStyle w:val="ArticleSmall"/>
      </w:pPr>
      <w:r>
        <w:rPr>
          <w:rFonts w:ascii="NanumMyeongjo" w:hAnsi="NanumMyeongjo" w:eastAsia="NanumMyeongjo" w:cs="NanumMyeongjo"/>
          <w:b w:val="0"/>
          <w:i w:val="0"/>
          <w:lang w:val="ko-KR" w:eastAsia="ko-KR"/>
        </w:rPr>
        <w:t xml:space="preserve">CORE 재현: 지원집중 0영역, 3~4점 문항 0개, 계산 단계 보류. 안전문항 양성 없음, 추가확인 미완료 없음.</w:t>
      </w:r>
    </w:p>
    <w:p>
      <w:pPr>
        <w:pStyle w:val="ArticleSmall"/>
      </w:pPr>
      <w:r>
        <w:rPr>
          <w:rFonts w:ascii="NanumMyeongjo" w:hAnsi="NanumMyeongjo" w:eastAsia="NanumMyeongjo" w:cs="NanumMyeongjo"/>
          <w:b w:val="0"/>
          <w:i w:val="0"/>
          <w:lang w:val="ko-KR" w:eastAsia="ko-KR"/>
        </w:rPr>
        <w:t xml:space="preserve">해석지 표시(2026.10.26 코드 재실행): 개입 수준 관찰·예방 · 요약 확인된 응답 기준 관찰·예방 수준 · 전체 판정 보류 · 안전 확인 미완료. 첫 행동: 이번 주 안에 자해·죽음 관련 안전 신호의 현재 상황을 직접 안전 면담으로 확인합니다.</w:t>
      </w:r>
    </w:p>
    <w:p>
      <w:pPr>
        <w:pStyle w:val="ArticleSmall"/>
      </w:pPr>
      <w:r>
        <w:rPr>
          <w:rFonts w:ascii="NanumMyeongjo" w:hAnsi="NanumMyeongjo" w:eastAsia="NanumMyeongjo" w:cs="NanumMyeongjo"/>
          <w:b w:val="0"/>
          <w:i w:val="0"/>
          <w:lang w:val="ko-KR" w:eastAsia="ko-KR"/>
        </w:rPr>
        <w:t>해석과 첫 행동: 7번 미상은 위험 발생 확정이 아니며 안전 확인을 완료하지 못한 상태입니다. 기관 문의·접수·서비스 시작 여부는 이 가상 점수만으로 정해지지 않는다. 학생 희망, 현재 안전, 기존 지원과 지역자원 접수상태를 실제 면담에서 확인해야 한다.</w:t>
      </w:r>
    </w:p>
    <w:p>
      <w:pPr>
        <w:pStyle w:val="ArticleH1"/>
      </w:pPr>
      <w:r>
        <w:rPr>
          <w:rFonts w:ascii="NanumMyeongjo" w:hAnsi="NanumMyeongjo" w:eastAsia="NanumMyeongjo" w:cs="NanumMyeongjo"/>
          <w:b w:val="0"/>
          <w:i w:val="0"/>
          <w:lang w:val="ko-KR" w:eastAsia="ko-KR"/>
        </w:rPr>
        <w:t>14. 운영·연구에 대한 제언</w:t>
      </w:r>
    </w:p>
    <w:p>
      <w:pPr>
        <w:pStyle w:val="ArticleH2"/>
      </w:pPr>
      <w:r>
        <w:rPr>
          <w:rFonts w:ascii="NanumMyeongjo" w:hAnsi="NanumMyeongjo" w:eastAsia="NanumMyeongjo" w:cs="NanumMyeongjo"/>
          <w:b w:val="0"/>
          <w:i w:val="0"/>
          <w:lang w:val="ko-KR" w:eastAsia="ko-KR"/>
        </w:rPr>
        <w:t>1차: 사용자 안전과 재현성</w:t>
      </w:r>
    </w:p>
    <w:p>
      <w:pPr>
        <w:pStyle w:val="ArticleBody"/>
        <w:jc w:val="both"/>
      </w:pPr>
      <w:r>
        <w:rPr>
          <w:rFonts w:ascii="NanumMyeongjo" w:hAnsi="NanumMyeongjo" w:eastAsia="NanumMyeongjo" w:cs="NanumMyeongjo"/>
          <w:b w:val="0"/>
          <w:i w:val="0"/>
          <w:lang w:val="ko-KR" w:eastAsia="ko-KR"/>
        </w:rPr>
        <w:t xml:space="preserve">25문항과 CORE 계산식을 고정하고 오프라인·온라인 결과 일치를 정례 검사한다. 고득점 단일문항과 미상·보호위험 사례를 우선 테스트한다. 세 가지 단계 표시(CORE·SUPPORT-5·개입 수준)의 이름과 경계값이 서로 다른 메시지를 주지 않는지 정기적으로 대조한다.</w:t>
      </w:r>
    </w:p>
    <w:p>
      <w:pPr>
        <w:pStyle w:val="ArticleH2"/>
      </w:pPr>
      <w:r>
        <w:rPr>
          <w:rFonts w:ascii="NanumMyeongjo" w:hAnsi="NanumMyeongjo" w:eastAsia="NanumMyeongjo" w:cs="NanumMyeongjo"/>
          <w:b w:val="0"/>
          <w:i w:val="0"/>
          <w:lang w:val="ko-KR" w:eastAsia="ko-KR"/>
        </w:rPr>
        <w:t>2차: 자원 연결의 품질</w:t>
      </w:r>
    </w:p>
    <w:p>
      <w:pPr>
        <w:pStyle w:val="ArticleBody"/>
        <w:jc w:val="both"/>
      </w:pPr>
      <w:r>
        <w:rPr>
          <w:rFonts w:ascii="NanumMyeongjo" w:hAnsi="NanumMyeongjo" w:eastAsia="NanumMyeongjo" w:cs="NanumMyeongjo"/>
          <w:b w:val="0"/>
          <w:i w:val="0"/>
          <w:lang w:val="ko-KR" w:eastAsia="ko-KR"/>
        </w:rPr>
        <w:t>기관 수 확대보다 사업별 이용조건·현재 접수 가능성·담당창구·대체경로 검증을 우선한다. 출처 확인 날짜와 중단상태를 사용자에게 설명한다.</w:t>
      </w:r>
    </w:p>
    <w:p>
      <w:pPr>
        <w:pStyle w:val="ArticleH2"/>
      </w:pPr>
      <w:r>
        <w:rPr>
          <w:rFonts w:ascii="NanumMyeongjo" w:hAnsi="NanumMyeongjo" w:eastAsia="NanumMyeongjo" w:cs="NanumMyeongjo"/>
          <w:b w:val="0"/>
          <w:i w:val="0"/>
          <w:lang w:val="ko-KR" w:eastAsia="ko-KR"/>
        </w:rPr>
        <w:t>3차: 협의·개입·점검의 구조화</w:t>
      </w:r>
    </w:p>
    <w:p>
      <w:pPr>
        <w:pStyle w:val="ArticleBody"/>
        <w:jc w:val="both"/>
      </w:pPr>
      <w:r>
        <w:rPr>
          <w:rFonts w:ascii="NanumMyeongjo" w:hAnsi="NanumMyeongjo" w:eastAsia="NanumMyeongjo" w:cs="NanumMyeongjo"/>
          <w:b w:val="0"/>
          <w:i w:val="0"/>
          <w:lang w:val="ko-KR" w:eastAsia="ko-KR"/>
        </w:rPr>
        <w:t>사정 근거·학생의 희망·담당·활동과 생활변화를 하나의 기록 ID로 연결한다. 문의와 실제 서비스 제공을 성과지표에서 반드시 구분한다.</w:t>
      </w:r>
    </w:p>
    <w:p>
      <w:pPr>
        <w:pStyle w:val="ArticleH2"/>
      </w:pPr>
      <w:r>
        <w:rPr>
          <w:rFonts w:ascii="NanumMyeongjo" w:hAnsi="NanumMyeongjo" w:eastAsia="NanumMyeongjo" w:cs="NanumMyeongjo"/>
          <w:b w:val="0"/>
          <w:i w:val="0"/>
          <w:lang w:val="ko-KR" w:eastAsia="ko-KR"/>
        </w:rPr>
        <w:t>4차: 독립적 타당화</w:t>
      </w:r>
    </w:p>
    <w:p>
      <w:pPr>
        <w:pStyle w:val="ArticleBody"/>
        <w:jc w:val="both"/>
      </w:pPr>
      <w:r>
        <w:rPr>
          <w:rFonts w:ascii="NanumMyeongjo" w:hAnsi="NanumMyeongjo" w:eastAsia="NanumMyeongjo" w:cs="NanumMyeongjo"/>
          <w:b w:val="0"/>
          <w:i w:val="0"/>
          <w:lang w:val="ko-KR" w:eastAsia="ko-KR"/>
        </w:rPr>
        <w:t>개발용 AI 일치률과 분리한 전문가 독립 판단·청소년 이해가능성·실제 지원 결과를 통해 도구가 용도에 맞게 작동하는지 평가한다.</w:t>
      </w:r>
    </w:p>
    <w:p>
      <w:pPr>
        <w:pStyle w:val="ArticleH2"/>
      </w:pPr>
      <w:r>
        <w:rPr>
          <w:rFonts w:ascii="NanumMyeongjo" w:hAnsi="NanumMyeongjo" w:eastAsia="NanumMyeongjo" w:cs="NanumMyeongjo"/>
          <w:b w:val="0"/>
          <w:i w:val="0"/>
          <w:lang w:val="ko-KR" w:eastAsia="ko-KR"/>
        </w:rPr>
        <w:t>5차: 조직 차원의 책임성</w:t>
      </w:r>
    </w:p>
    <w:p>
      <w:pPr>
        <w:pStyle w:val="ArticleBody"/>
        <w:jc w:val="both"/>
      </w:pPr>
      <w:r>
        <w:rPr>
          <w:rFonts w:ascii="NanumMyeongjo" w:hAnsi="NanumMyeongjo" w:eastAsia="NanumMyeongjo" w:cs="NanumMyeongjo"/>
          <w:b w:val="0"/>
          <w:i w:val="0"/>
          <w:lang w:val="ko-KR" w:eastAsia="ko-KR"/>
        </w:rPr>
        <w:t>실무자 교육·정기 슈퍼비전·오류제보·버전관리·정보공유 승인체계를 갖추고, 자동 출력은 항상 협의 전 초안으로 표시한다.</w:t>
      </w:r>
    </w:p>
    <w:p>
      <w:pPr>
        <w:pStyle w:val="ArticleH1"/>
      </w:pPr>
      <w:r>
        <w:rPr>
          <w:rFonts w:ascii="NanumMyeongjo" w:hAnsi="NanumMyeongjo" w:eastAsia="NanumMyeongjo" w:cs="NanumMyeongjo"/>
          <w:b w:val="0"/>
          <w:i w:val="0"/>
          <w:lang w:val="ko-KR" w:eastAsia="ko-KR"/>
        </w:rPr>
        <w:t>15. 결론</w:t>
      </w:r>
    </w:p>
    <w:p>
      <w:pPr>
        <w:pStyle w:val="ArticleBody"/>
        <w:jc w:val="both"/>
      </w:pPr>
      <w:r>
        <w:rPr>
          <w:rFonts w:ascii="NanumMyeongjo" w:hAnsi="NanumMyeongjo" w:eastAsia="NanumMyeongjo" w:cs="NanumMyeongjo"/>
          <w:b w:val="0"/>
          <w:i w:val="0"/>
          <w:lang w:val="ko-KR" w:eastAsia="ko-KR"/>
        </w:rPr>
        <w:t>OY-RALS의 고유한 가치는 25문항 검사표에만 있지 않다. 학생의 경험을 다차원적으로 이해하고, 안전을 먼저 확인하고, 필요할 때 학교와 지역사회가 공동으로 지원하며, 그 지원이 실제로 제공되었는지까지 추적하는 폐쇄고리(case management closed loop)에 있다.</w:t>
      </w:r>
    </w:p>
    <w:p>
      <w:pPr>
        <w:pStyle w:val="ArticleBody"/>
        <w:jc w:val="both"/>
      </w:pPr>
      <w:r>
        <w:rPr>
          <w:rFonts w:ascii="NanumMyeongjo" w:hAnsi="NanumMyeongjo" w:eastAsia="NanumMyeongjo" w:cs="NanumMyeongjo"/>
          <w:b w:val="0"/>
          <w:i w:val="0"/>
          <w:lang w:val="ko-KR" w:eastAsia="ko-KR"/>
        </w:rPr>
        <w:t>개발단계의 모델 분해와 가상사례 검수는 실무적 활용 가능성에 대한 기술적 기초이다. 그러나 사람의 삶에 관한 판정을 맡기는 수준의 실증적 신뢰도나 타당도가 확보되었다고 해석해서는 안 된다. 학생과 전문 실무자의 독립적 검토, 실제 연결 성과, 부작용·편향 점검을 통해 과학적·실천적 타당성을 점진적으로 확보할 수 있다.</w:t>
      </w:r>
    </w:p>
    <w:p>
      <w:pPr>
        <w:pStyle w:val="ArticleTableLabel"/>
      </w:pPr>
      <w:r>
        <w:rPr>
          <w:rFonts w:ascii="NanumGothic" w:hAnsi="NanumGothic" w:eastAsia="NanumGothic" w:cs="NanumGothic"/>
          <w:b/>
          <w:sz w:val="18"/>
          <w:lang w:val="ko-KR" w:eastAsia="ko-KR"/>
        </w:rPr>
        <w:t xml:space="preserve">〈표 20〉  보고서의 법적·학술적 지위</w:t>
      </w:r>
    </w:p>
    <w:tbl>
      <w:tblPr>
        <w:tblW w:type="auto" w:w="0"/>
        <w:jc w:val="center"/>
        <w:tblLayout w:type="fixed"/>
        <w:tblLook w:firstColumn="1" w:firstRow="1" w:lastColumn="0" w:lastRow="0" w:noHBand="0" w:noVBand="1" w:val="04A0"/>
      </w:tblPr>
      <w:tblGrid>
        <w:gridCol w:w="9071"/>
      </w:tblGrid>
      <w:tr>
        <w:trPr>
          <w:cantSplit/>
        </w:trPr>
        <w:tc>
          <w:tcPr>
            <w:tcW w:type="dxa" w:w="9071"/>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보고서의 법적·학술적 지위: 개발 현황에 대한 연구형 기술보고서이며 학술지 심사논문, 표준화 심리척도, 실제 학생 임상검증 결과를 의미하지 않습니다.</w:t>
            </w:r>
          </w:p>
        </w:tc>
      </w:tr>
    </w:tbl>
    <w:p>
      <w:pPr>
        <w:pStyle w:val="ArticleH1"/>
      </w:pPr>
      <w:r>
        <w:rPr>
          <w:rFonts w:ascii="NanumMyeongjo" w:hAnsi="NanumMyeongjo" w:eastAsia="NanumMyeongjo" w:cs="NanumMyeongjo"/>
          <w:b w:val="0"/>
          <w:i w:val="0"/>
          <w:lang w:val="ko-KR" w:eastAsia="ko-KR"/>
        </w:rPr>
        <w:t>참고문헌</w:t>
      </w:r>
    </w:p>
    <w:p>
      <w:pPr>
        <w:pStyle w:val="ArticleReference"/>
      </w:pPr>
      <w:r>
        <w:rPr>
          <w:rFonts w:ascii="NanumMyeongjo" w:hAnsi="NanumMyeongjo" w:eastAsia="NanumMyeongjo" w:cs="NanumMyeongjo"/>
          <w:b w:val="0"/>
          <w:i w:val="0"/>
          <w:lang w:val="ko-KR" w:eastAsia="ko-KR"/>
        </w:rPr>
        <w:t>National Institute for Health and Care Excellence. (2022). Self-harm: assessment, management and preventing recurrence (NICE Guideline NG225). https://www.nice.org.uk/guidance/ng225</w:t>
      </w:r>
    </w:p>
    <w:p>
      <w:pPr>
        <w:pStyle w:val="ArticleReference"/>
      </w:pPr>
      <w:r>
        <w:rPr>
          <w:rFonts w:ascii="NanumMyeongjo" w:hAnsi="NanumMyeongjo" w:eastAsia="NanumMyeongjo" w:cs="NanumMyeongjo"/>
          <w:b w:val="0"/>
          <w:i w:val="0"/>
          <w:lang w:val="ko-KR" w:eastAsia="ko-KR"/>
        </w:rPr>
        <w:t>Mokkink, L. B., Elsman, E. B. M., &amp; Terwee, C. B. (2024). COSMIN guideline for systematic reviews of patient-reported outcome measures, version 2.0. Quality of Life Research. https://pmc.ncbi.nlm.nih.gov/articles/PMC11541334/</w:t>
      </w:r>
    </w:p>
    <w:p>
      <w:pPr>
        <w:pStyle w:val="ArticleReference"/>
      </w:pPr>
      <w:r>
        <w:rPr>
          <w:rFonts w:ascii="NanumMyeongjo" w:hAnsi="NanumMyeongjo" w:eastAsia="NanumMyeongjo" w:cs="NanumMyeongjo"/>
          <w:b w:val="0"/>
          <w:i w:val="0"/>
          <w:lang w:val="ko-KR" w:eastAsia="ko-KR"/>
        </w:rPr>
        <w:t>COSMIN. (2024). Reporting guideline for studies on measurement properties of patient-reported outcome measures. https://www.cosmin.nl/</w:t>
      </w:r>
    </w:p>
    <w:p>
      <w:pPr>
        <w:pStyle w:val="ArticleReference"/>
      </w:pPr>
      <w:r>
        <w:rPr>
          <w:rFonts w:ascii="NanumMyeongjo" w:hAnsi="NanumMyeongjo" w:eastAsia="NanumMyeongjo" w:cs="NanumMyeongjo"/>
          <w:b w:val="0"/>
          <w:i w:val="0"/>
          <w:lang w:val="ko-KR" w:eastAsia="ko-KR"/>
        </w:rPr>
        <w:t>학생맞춤통합지원센터. (2026). 2026년 학생맞춤통합지원 가이드북(학교용·교육지원청용). https://studentsupport.kr/board/publicboard/view/1291.do</w:t>
      </w:r>
    </w:p>
    <w:p>
      <w:pPr>
        <w:pStyle w:val="ArticleReference"/>
      </w:pPr>
      <w:r>
        <w:rPr>
          <w:rFonts w:ascii="NanumMyeongjo" w:hAnsi="NanumMyeongjo" w:eastAsia="NanumMyeongjo" w:cs="NanumMyeongjo"/>
          <w:b w:val="0"/>
          <w:i w:val="0"/>
          <w:lang w:val="ko-KR" w:eastAsia="ko-KR"/>
        </w:rPr>
        <w:t>Inter-agency Child Protection Case Management Task Force. (2024). Inter-agency child protection case management guidelines (2nd ed.). https://globalchildren.georgetown.edu/publications/inter-agency-child-protection-case-management-guidelines-2024-2024-01-01</w:t>
      </w:r>
    </w:p>
    <w:p>
      <w:pPr>
        <w:pStyle w:val="ArticleH2"/>
      </w:pPr>
      <w:r>
        <w:rPr>
          <w:rFonts w:ascii="NanumMyeongjo" w:hAnsi="NanumMyeongjo" w:eastAsia="NanumMyeongjo" w:cs="NanumMyeongjo"/>
          <w:b w:val="0"/>
          <w:i w:val="0"/>
          <w:lang w:val="ko-KR" w:eastAsia="ko-KR"/>
        </w:rPr>
        <w:t>개발 소스·기술검수 자료</w:t>
      </w:r>
    </w:p>
    <w:p>
      <w:pPr>
        <w:pStyle w:val="ArticleReference"/>
      </w:pPr>
      <w:r>
        <w:rPr>
          <w:rFonts w:ascii="NanumMyeongjo" w:hAnsi="NanumMyeongjo" w:eastAsia="NanumMyeongjo" w:cs="NanumMyeongjo"/>
          <w:b w:val="0"/>
          <w:i w:val="0"/>
          <w:lang w:val="ko-KR" w:eastAsia="ko-KR"/>
        </w:rPr>
        <w:t>OY-RALS 개발 저장소. (2026). OY-RALS CORE. daily-jh/osansegyo-welfare-resources/docs/youth-risk/criteria.js (2026.10.26 확인).</w:t>
      </w:r>
    </w:p>
    <w:p>
      <w:pPr>
        <w:pStyle w:val="ArticleReference"/>
      </w:pPr>
      <w:r>
        <w:rPr>
          <w:rFonts w:ascii="NanumMyeongjo" w:hAnsi="NanumMyeongjo" w:eastAsia="NanumMyeongjo" w:cs="NanumMyeongjo"/>
          <w:b w:val="0"/>
          <w:i w:val="0"/>
          <w:lang w:val="ko-KR" w:eastAsia="ko-KR"/>
        </w:rPr>
        <w:t>OY-RALS 개발 저장소. (2026). 25문항 원문. docs/youth-risk/oy-rals-blank-form.html (2026.10.26 확인).</w:t>
      </w:r>
    </w:p>
    <w:p>
      <w:pPr>
        <w:pStyle w:val="ArticleReference"/>
      </w:pPr>
      <w:r>
        <w:rPr>
          <w:rFonts w:ascii="NanumMyeongjo" w:hAnsi="NanumMyeongjo" w:eastAsia="NanumMyeongjo" w:cs="NanumMyeongjo"/>
          <w:b w:val="0"/>
          <w:i w:val="0"/>
          <w:lang w:val="ko-KR" w:eastAsia="ko-KR"/>
        </w:rPr>
        <w:t>OY-RALS 개발 저장소. (2026). 문항교차 모델. docs/youth-risk/evidence-matrix.js (2026.10.26 확인).</w:t>
      </w:r>
    </w:p>
    <w:p>
      <w:pPr>
        <w:pStyle w:val="ArticleReference"/>
      </w:pPr>
      <w:r>
        <w:rPr>
          <w:rFonts w:ascii="NanumMyeongjo" w:hAnsi="NanumMyeongjo" w:eastAsia="NanumMyeongjo" w:cs="NanumMyeongjo"/>
          <w:b w:val="0"/>
          <w:i w:val="0"/>
          <w:lang w:val="ko-KR" w:eastAsia="ko-KR"/>
        </w:rPr>
        <w:t>OY-RALS 개발 저장소. (2026). 모델 게이트웨이. docs/youth-risk/model-gateway-v90.js (2026.10.26 확인).</w:t>
      </w:r>
    </w:p>
    <w:p>
      <w:pPr>
        <w:pStyle w:val="ArticleReference"/>
      </w:pPr>
      <w:r>
        <w:rPr>
          <w:rFonts w:ascii="NanumMyeongjo" w:hAnsi="NanumMyeongjo" w:eastAsia="NanumMyeongjo" w:cs="NanumMyeongjo"/>
          <w:b w:val="0"/>
          <w:i w:val="0"/>
          <w:lang w:val="ko-KR" w:eastAsia="ko-KR"/>
        </w:rPr>
        <w:t>OY-RALS 개발 저장소. (2026). 기술검수 보고서. docs/youth-risk/OY-RALS-v2.2-logic-weight-500k-audit-20261024.md (2026.10.24 문서).</w:t>
      </w:r>
    </w:p>
    <w:p>
      <w:pPr>
        <w:pStyle w:val="ArticleReference"/>
      </w:pPr>
      <w:r>
        <w:rPr>
          <w:rFonts w:ascii="NanumMyeongjo" w:hAnsi="NanumMyeongjo" w:eastAsia="NanumMyeongjo" w:cs="NanumMyeongjo"/>
          <w:b w:val="0"/>
          <w:i w:val="0"/>
          <w:lang w:val="ko-KR" w:eastAsia="ko-KR"/>
        </w:rPr>
        <w:t>OY-RALS 개발 저장소. (2026). V8.8 검사 기록. docs/youth-risk/OY-RALS-V8.8-VERIFICATION.md (2026.10.25 문서).</w:t>
      </w:r>
    </w:p>
    <w:p>
      <w:pPr>
        <w:pStyle w:val="ArticleReference"/>
      </w:pPr>
      <w:r>
        <w:rPr>
          <w:rFonts w:ascii="NanumMyeongjo" w:hAnsi="NanumMyeongjo" w:eastAsia="NanumMyeongjo" w:cs="NanumMyeongjo"/>
          <w:b w:val="0"/>
          <w:i w:val="0"/>
          <w:lang w:val="ko-KR" w:eastAsia="ko-KR"/>
        </w:rPr>
        <w:t>OY-RALS 개발 저장소. (2026). 지역자원 전수점검 목록. docs/service-review-queue.csv (2026.10.26 확인).</w:t>
      </w:r>
    </w:p>
    <w:p>
      <w:pPr>
        <w:pStyle w:val="ArticleReference"/>
      </w:pPr>
      <w:r>
        <w:rPr>
          <w:rFonts w:ascii="NanumMyeongjo" w:hAnsi="NanumMyeongjo" w:eastAsia="NanumMyeongjo" w:cs="NanumMyeongjo"/>
          <w:b w:val="0"/>
          <w:i w:val="0"/>
          <w:lang w:val="ko-KR" w:eastAsia="ko-KR"/>
        </w:rPr>
        <w:t>OY-RALS 개발 저장소. (2026). 지역 연계 링크. docs/youth-risk/resource-links.js (2026.10.26 확인).</w:t>
      </w:r>
    </w:p>
    <w:p>
      <w:pPr>
        <w:pStyle w:val="ArticleReference"/>
      </w:pPr>
      <w:r>
        <w:rPr>
          <w:rFonts w:ascii="NanumMyeongjo" w:hAnsi="NanumMyeongjo" w:eastAsia="NanumMyeongjo" w:cs="NanumMyeongjo"/>
          <w:b w:val="0"/>
          <w:i w:val="0"/>
          <w:lang w:val="ko-KR" w:eastAsia="ko-KR"/>
        </w:rPr>
        <w:t xml:space="preserve">OY-RALS 개발 저장소. (2026). 문항 지식·앵커. docs/youth-risk/oy-item-knowledge-v1.js (2026.10.26 확인).</w:t>
      </w:r>
    </w:p>
    <w:p>
      <w:pPr>
        <w:pStyle w:val="ArticleReference"/>
      </w:pPr>
      <w:r>
        <w:rPr>
          <w:rFonts w:ascii="NanumMyeongjo" w:hAnsi="NanumMyeongjo" w:eastAsia="NanumMyeongjo" w:cs="NanumMyeongjo"/>
          <w:b w:val="0"/>
          <w:i w:val="0"/>
          <w:lang w:val="ko-KR" w:eastAsia="ko-KR"/>
        </w:rPr>
        <w:t xml:space="preserve">OY-RALS 개발 저장소. (2026). 해석지 교차 패턴. docs/youth-risk/oy-cross-patterns-v1.js (2026.10.26 확인).</w:t>
      </w:r>
    </w:p>
    <w:p>
      <w:pPr>
        <w:pStyle w:val="ArticleReference"/>
      </w:pPr>
      <w:r>
        <w:rPr>
          <w:rFonts w:ascii="NanumMyeongjo" w:hAnsi="NanumMyeongjo" w:eastAsia="NanumMyeongjo" w:cs="NanumMyeongjo"/>
          <w:b w:val="0"/>
          <w:i w:val="0"/>
          <w:lang w:val="ko-KR" w:eastAsia="ko-KR"/>
        </w:rPr>
        <w:t xml:space="preserve">OY-RALS 개발 저장소. (2026). 심층 해석. docs/youth-risk/oy-deep-interpretation-v1.js (2026.10.26 확인).</w:t>
      </w:r>
    </w:p>
    <w:p>
      <w:pPr>
        <w:pStyle w:val="ArticleReference"/>
      </w:pPr>
      <w:r>
        <w:rPr>
          <w:rFonts w:ascii="NanumMyeongjo" w:hAnsi="NanumMyeongjo" w:eastAsia="NanumMyeongjo" w:cs="NanumMyeongjo"/>
          <w:b w:val="0"/>
          <w:i w:val="0"/>
          <w:lang w:val="ko-KR" w:eastAsia="ko-KR"/>
        </w:rPr>
        <w:t xml:space="preserve">OY-RALS 개발 저장소. (2026). 서술기록 분석. docs/youth-risk/oy-narrative-interpretation-v1.js (2026.10.26 확인).</w:t>
      </w:r>
    </w:p>
    <w:p>
      <w:pPr>
        <w:pStyle w:val="ArticleReference"/>
      </w:pPr>
      <w:r>
        <w:rPr>
          <w:rFonts w:ascii="NanumMyeongjo" w:hAnsi="NanumMyeongjo" w:eastAsia="NanumMyeongjo" w:cs="NanumMyeongjo"/>
          <w:b w:val="0"/>
          <w:i w:val="0"/>
          <w:lang w:val="ko-KR" w:eastAsia="ko-KR"/>
        </w:rPr>
        <w:t xml:space="preserve">OY-RALS 개발 저장소. (2026). 보조지표 도식. docs/youth-risk/oy-scale-figures-v1.js (2026.10.26 확인).</w:t>
      </w:r>
    </w:p>
    <w:p>
      <w:pPr>
        <w:pStyle w:val="ArticleReference"/>
      </w:pPr>
      <w:r>
        <w:rPr>
          <w:rFonts w:ascii="NanumMyeongjo" w:hAnsi="NanumMyeongjo" w:eastAsia="NanumMyeongjo" w:cs="NanumMyeongjo"/>
          <w:b w:val="0"/>
          <w:i w:val="0"/>
          <w:lang w:val="ko-KR" w:eastAsia="ko-KR"/>
        </w:rPr>
        <w:t xml:space="preserve">OY-RALS 개발 저장소. (2026). SUPPORT-5 통합지원 단계. docs/youth-risk/integrated-index-v1.js 및 OY-RALS-FIVE-LEVEL-FINAL-SPEC-20261026.md (2026.10.26 확인).</w:t>
      </w:r>
    </w:p>
    <w:p>
      <w:pPr>
        <w:pStyle w:val="ArticleReference"/>
      </w:pPr>
      <w:r>
        <w:rPr>
          <w:rFonts w:ascii="NanumMyeongjo" w:hAnsi="NanumMyeongjo" w:eastAsia="NanumMyeongjo" w:cs="NanumMyeongjo"/>
          <w:b w:val="0"/>
          <w:i w:val="0"/>
          <w:lang w:val="ko-KR" w:eastAsia="ko-KR"/>
        </w:rPr>
        <w:t xml:space="preserve">OY-RALS 개발 저장소. (2026). 자원 카드 세부 정보. docs/youth-risk/support-detail.js (2026.10.26 확인).</w:t>
      </w:r>
    </w:p>
    <w:p>
      <w:pPr>
        <w:pStyle w:val="ArticleReference"/>
      </w:pPr>
      <w:r>
        <w:rPr>
          <w:rFonts w:ascii="NanumMyeongjo" w:hAnsi="NanumMyeongjo" w:eastAsia="NanumMyeongjo" w:cs="NanumMyeongjo"/>
          <w:b w:val="0"/>
          <w:i w:val="0"/>
          <w:lang w:val="ko-KR" w:eastAsia="ko-KR"/>
        </w:rPr>
        <w:t xml:space="preserve">OY-RALS 개발 저장소. (2026). 복지자원 전수 확인표·실행 점검. docs/service-review-20261025.md (2026.10.25 문서).</w:t>
      </w:r>
    </w:p>
    <w:p>
      <w:pPr>
        <w:pStyle w:val="ArticleH1"/>
      </w:pPr>
      <w:r>
        <w:rPr>
          <w:rFonts w:ascii="NanumMyeongjo" w:hAnsi="NanumMyeongjo" w:eastAsia="NanumMyeongjo" w:cs="NanumMyeongjo"/>
          <w:b w:val="0"/>
          <w:i w:val="0"/>
          <w:lang w:val="ko-KR" w:eastAsia="ko-KR"/>
        </w:rPr>
        <w:t>부록 A. 평가·해석·연계에서 구별해야 할 12개 상태</w:t>
      </w:r>
    </w:p>
    <w:p>
      <w:pPr>
        <w:pStyle w:val="ArticleSmall"/>
      </w:pPr>
      <w:r>
        <w:rPr>
          <w:rFonts w:ascii="NanumMyeongjo" w:hAnsi="NanumMyeongjo" w:eastAsia="NanumMyeongjo" w:cs="NanumMyeongjo"/>
          <w:b/>
          <w:i w:val="0"/>
          <w:lang w:val="ko-KR" w:eastAsia="ko-KR"/>
        </w:rPr>
        <w:t>01. 미응답</w:t>
      </w:r>
      <w:r>
        <w:rPr>
          <w:rFonts w:ascii="NanumMyeongjo" w:hAnsi="NanumMyeongjo" w:eastAsia="NanumMyeongjo" w:cs="NanumMyeongjo"/>
          <w:b w:val="0"/>
          <w:i w:val="0"/>
          <w:lang w:val="ko-KR" w:eastAsia="ko-KR"/>
        </w:rPr>
        <w:t xml:space="preserve"> 실무자가 아직 선택하지 않은 문항</w:t>
      </w:r>
    </w:p>
    <w:p>
      <w:pPr>
        <w:pStyle w:val="ArticleSmall"/>
      </w:pPr>
      <w:r>
        <w:rPr>
          <w:rFonts w:ascii="NanumMyeongjo" w:hAnsi="NanumMyeongjo" w:eastAsia="NanumMyeongjo" w:cs="NanumMyeongjo"/>
          <w:b/>
          <w:i w:val="0"/>
          <w:lang w:val="ko-KR" w:eastAsia="ko-KR"/>
        </w:rPr>
        <w:t>02. 미상</w:t>
      </w:r>
      <w:r>
        <w:rPr>
          <w:rFonts w:ascii="NanumMyeongjo" w:hAnsi="NanumMyeongjo" w:eastAsia="NanumMyeongjo" w:cs="NanumMyeongjo"/>
          <w:b w:val="0"/>
          <w:i w:val="0"/>
          <w:lang w:val="ko-KR" w:eastAsia="ko-KR"/>
        </w:rPr>
        <w:t xml:space="preserve"> 정보를 살폈지만 확인되지 않은 문항</w:t>
      </w:r>
    </w:p>
    <w:p>
      <w:pPr>
        <w:pStyle w:val="ArticleSmall"/>
      </w:pPr>
      <w:r>
        <w:rPr>
          <w:rFonts w:ascii="NanumMyeongjo" w:hAnsi="NanumMyeongjo" w:eastAsia="NanumMyeongjo" w:cs="NanumMyeongjo"/>
          <w:b/>
          <w:i w:val="0"/>
          <w:lang w:val="ko-KR" w:eastAsia="ko-KR"/>
        </w:rPr>
        <w:t>03. 0점</w:t>
      </w:r>
      <w:r>
        <w:rPr>
          <w:rFonts w:ascii="NanumMyeongjo" w:hAnsi="NanumMyeongjo" w:eastAsia="NanumMyeongjo" w:cs="NanumMyeongjo"/>
          <w:b w:val="0"/>
          <w:i w:val="0"/>
          <w:lang w:val="ko-KR" w:eastAsia="ko-KR"/>
        </w:rPr>
        <w:t xml:space="preserve"> 확인된 어려움이 이번 응답에서 보고·관찰되지 않음</w:t>
      </w:r>
    </w:p>
    <w:p>
      <w:pPr>
        <w:pStyle w:val="ArticleSmall"/>
      </w:pPr>
      <w:r>
        <w:rPr>
          <w:rFonts w:ascii="NanumMyeongjo" w:hAnsi="NanumMyeongjo" w:eastAsia="NanumMyeongjo" w:cs="NanumMyeongjo"/>
          <w:b/>
          <w:i w:val="0"/>
          <w:lang w:val="ko-KR" w:eastAsia="ko-KR"/>
        </w:rPr>
        <w:t>04. 안전문항 양성</w:t>
      </w:r>
      <w:r>
        <w:rPr>
          <w:rFonts w:ascii="NanumMyeongjo" w:hAnsi="NanumMyeongjo" w:eastAsia="NanumMyeongjo" w:cs="NanumMyeongjo"/>
          <w:b w:val="0"/>
          <w:i w:val="0"/>
          <w:lang w:val="ko-KR" w:eastAsia="ko-KR"/>
        </w:rPr>
        <w:t xml:space="preserve"> 신고·보호가 필요한지 현재 안전을 직접 확인할 신호</w:t>
      </w:r>
    </w:p>
    <w:p>
      <w:pPr>
        <w:pStyle w:val="ArticleSmall"/>
      </w:pPr>
      <w:r>
        <w:rPr>
          <w:rFonts w:ascii="NanumMyeongjo" w:hAnsi="NanumMyeongjo" w:eastAsia="NanumMyeongjo" w:cs="NanumMyeongjo"/>
          <w:b/>
          <w:i w:val="0"/>
          <w:lang w:val="ko-KR" w:eastAsia="ko-KR"/>
        </w:rPr>
        <w:t>05. 안전 추가확인 미완료</w:t>
      </w:r>
      <w:r>
        <w:rPr>
          <w:rFonts w:ascii="NanumMyeongjo" w:hAnsi="NanumMyeongjo" w:eastAsia="NanumMyeongjo" w:cs="NanumMyeongjo"/>
          <w:b w:val="0"/>
          <w:i w:val="0"/>
          <w:lang w:val="ko-KR" w:eastAsia="ko-KR"/>
        </w:rPr>
        <w:t xml:space="preserve"> 위험 여부가 미확인이며 안전하다는 뜻이 아님</w:t>
      </w:r>
    </w:p>
    <w:p>
      <w:pPr>
        <w:pStyle w:val="ArticleSmall"/>
      </w:pPr>
      <w:r>
        <w:rPr>
          <w:rFonts w:ascii="NanumMyeongjo" w:hAnsi="NanumMyeongjo" w:eastAsia="NanumMyeongjo" w:cs="NanumMyeongjo"/>
          <w:b/>
          <w:i w:val="0"/>
          <w:lang w:val="ko-KR" w:eastAsia="ko-KR"/>
        </w:rPr>
        <w:t>06. 잠정 지원수준</w:t>
      </w:r>
      <w:r>
        <w:rPr>
          <w:rFonts w:ascii="NanumMyeongjo" w:hAnsi="NanumMyeongjo" w:eastAsia="NanumMyeongjo" w:cs="NanumMyeongjo"/>
          <w:b w:val="0"/>
          <w:i w:val="0"/>
          <w:lang w:val="ko-KR" w:eastAsia="ko-KR"/>
        </w:rPr>
        <w:t xml:space="preserve"> 부분 응답만으로 추정한 관찰 수준</w:t>
      </w:r>
    </w:p>
    <w:p>
      <w:pPr>
        <w:pStyle w:val="ArticleSmall"/>
      </w:pPr>
      <w:r>
        <w:rPr>
          <w:rFonts w:ascii="NanumMyeongjo" w:hAnsi="NanumMyeongjo" w:eastAsia="NanumMyeongjo" w:cs="NanumMyeongjo"/>
          <w:b/>
          <w:i w:val="0"/>
          <w:lang w:val="ko-KR" w:eastAsia="ko-KR"/>
        </w:rPr>
        <w:t>07. 교차가설</w:t>
      </w:r>
      <w:r>
        <w:rPr>
          <w:rFonts w:ascii="NanumMyeongjo" w:hAnsi="NanumMyeongjo" w:eastAsia="NanumMyeongjo" w:cs="NanumMyeongjo"/>
          <w:b w:val="0"/>
          <w:i w:val="0"/>
          <w:lang w:val="ko-KR" w:eastAsia="ko-KR"/>
        </w:rPr>
        <w:t xml:space="preserve"> 동시 관찰로 생긴 추가 면담 질문</w:t>
      </w:r>
    </w:p>
    <w:p>
      <w:pPr>
        <w:pStyle w:val="ArticleSmall"/>
      </w:pPr>
      <w:r>
        <w:rPr>
          <w:rFonts w:ascii="NanumMyeongjo" w:hAnsi="NanumMyeongjo" w:eastAsia="NanumMyeongjo" w:cs="NanumMyeongjo"/>
          <w:b/>
          <w:i w:val="0"/>
          <w:lang w:val="ko-KR" w:eastAsia="ko-KR"/>
        </w:rPr>
        <w:t>08. 기관 후보</w:t>
      </w:r>
      <w:r>
        <w:rPr>
          <w:rFonts w:ascii="NanumMyeongjo" w:hAnsi="NanumMyeongjo" w:eastAsia="NanumMyeongjo" w:cs="NanumMyeongjo"/>
          <w:b w:val="0"/>
          <w:i w:val="0"/>
          <w:lang w:val="ko-KR" w:eastAsia="ko-KR"/>
        </w:rPr>
        <w:t xml:space="preserve"> 필요 서비스와 목적이 맞을 가능성이 있는 기관</w:t>
      </w:r>
    </w:p>
    <w:p>
      <w:pPr>
        <w:pStyle w:val="ArticleSmall"/>
      </w:pPr>
      <w:r>
        <w:rPr>
          <w:rFonts w:ascii="NanumMyeongjo" w:hAnsi="NanumMyeongjo" w:eastAsia="NanumMyeongjo" w:cs="NanumMyeongjo"/>
          <w:b/>
          <w:i w:val="0"/>
          <w:lang w:val="ko-KR" w:eastAsia="ko-KR"/>
        </w:rPr>
        <w:t>09. 접수조건 확인</w:t>
      </w:r>
      <w:r>
        <w:rPr>
          <w:rFonts w:ascii="NanumMyeongjo" w:hAnsi="NanumMyeongjo" w:eastAsia="NanumMyeongjo" w:cs="NanumMyeongjo"/>
          <w:b w:val="0"/>
          <w:i w:val="0"/>
          <w:lang w:val="ko-KR" w:eastAsia="ko-KR"/>
        </w:rPr>
        <w:t xml:space="preserve"> 기관 공식자료·담당자에게 이용 가능성을 검토</w:t>
      </w:r>
    </w:p>
    <w:p>
      <w:pPr>
        <w:pStyle w:val="ArticleSmall"/>
      </w:pPr>
      <w:r>
        <w:rPr>
          <w:rFonts w:ascii="NanumMyeongjo" w:hAnsi="NanumMyeongjo" w:eastAsia="NanumMyeongjo" w:cs="NanumMyeongjo"/>
          <w:b/>
          <w:i w:val="0"/>
          <w:lang w:val="ko-KR" w:eastAsia="ko-KR"/>
        </w:rPr>
        <w:t>10. 의뢰</w:t>
      </w:r>
      <w:r>
        <w:rPr>
          <w:rFonts w:ascii="NanumMyeongjo" w:hAnsi="NanumMyeongjo" w:eastAsia="NanumMyeongjo" w:cs="NanumMyeongjo"/>
          <w:b w:val="0"/>
          <w:i w:val="0"/>
          <w:lang w:val="ko-KR" w:eastAsia="ko-KR"/>
        </w:rPr>
        <w:t xml:space="preserve"> 적법한 공유 절차에 따라 실제 요청을 전달</w:t>
      </w:r>
    </w:p>
    <w:p>
      <w:pPr>
        <w:pStyle w:val="ArticleSmall"/>
      </w:pPr>
      <w:r>
        <w:rPr>
          <w:rFonts w:ascii="NanumMyeongjo" w:hAnsi="NanumMyeongjo" w:eastAsia="NanumMyeongjo" w:cs="NanumMyeongjo"/>
          <w:b/>
          <w:i w:val="0"/>
          <w:lang w:val="ko-KR" w:eastAsia="ko-KR"/>
        </w:rPr>
        <w:t>11. 제공</w:t>
      </w:r>
      <w:r>
        <w:rPr>
          <w:rFonts w:ascii="NanumMyeongjo" w:hAnsi="NanumMyeongjo" w:eastAsia="NanumMyeongjo" w:cs="NanumMyeongjo"/>
          <w:b w:val="0"/>
          <w:i w:val="0"/>
          <w:lang w:val="ko-KR" w:eastAsia="ko-KR"/>
        </w:rPr>
        <w:t xml:space="preserve"> 학생에게 서비스가 실제 시작된 상태</w:t>
      </w:r>
    </w:p>
    <w:p>
      <w:pPr>
        <w:pStyle w:val="ArticleSmall"/>
      </w:pPr>
      <w:r>
        <w:rPr>
          <w:rFonts w:ascii="NanumMyeongjo" w:hAnsi="NanumMyeongjo" w:eastAsia="NanumMyeongjo" w:cs="NanumMyeongjo"/>
          <w:b/>
          <w:i w:val="0"/>
          <w:lang w:val="ko-KR" w:eastAsia="ko-KR"/>
        </w:rPr>
        <w:t>12. 효과</w:t>
      </w:r>
      <w:r>
        <w:rPr>
          <w:rFonts w:ascii="NanumMyeongjo" w:hAnsi="NanumMyeongjo" w:eastAsia="NanumMyeongjo" w:cs="NanumMyeongjo"/>
          <w:b w:val="0"/>
          <w:i w:val="0"/>
          <w:lang w:val="ko-KR" w:eastAsia="ko-KR"/>
        </w:rPr>
        <w:t xml:space="preserve"> 생활·교육 참여·안전 변화가 확인된 상태</w:t>
      </w:r>
    </w:p>
    <w:p>
      <w:pPr>
        <w:pStyle w:val="ArticleH1"/>
      </w:pPr>
      <w:r>
        <w:rPr>
          <w:rFonts w:ascii="NanumMyeongjo" w:hAnsi="NanumMyeongjo" w:eastAsia="NanumMyeongjo" w:cs="NanumMyeongjo"/>
          <w:b w:val="0"/>
          <w:i w:val="0"/>
          <w:lang w:val="ko-KR" w:eastAsia="ko-KR"/>
        </w:rPr>
        <w:t>부록 B. 지역자원 운영의 16가지 품질기준</w:t>
      </w:r>
    </w:p>
    <w:p>
      <w:pPr>
        <w:pStyle w:val="ArticleSmall"/>
      </w:pPr>
      <w:r>
        <w:rPr>
          <w:rFonts w:ascii="NanumMyeongjo" w:hAnsi="NanumMyeongjo" w:eastAsia="NanumMyeongjo" w:cs="NanumMyeongjo"/>
          <w:b/>
          <w:i w:val="0"/>
          <w:lang w:val="ko-KR" w:eastAsia="ko-KR"/>
        </w:rPr>
        <w:t>01 기관 기본정보</w:t>
      </w:r>
      <w:r>
        <w:rPr>
          <w:rFonts w:ascii="NanumMyeongjo" w:hAnsi="NanumMyeongjo" w:eastAsia="NanumMyeongjo" w:cs="NanumMyeongjo"/>
          <w:b w:val="0"/>
          <w:i w:val="0"/>
          <w:lang w:val="ko-KR" w:eastAsia="ko-KR"/>
        </w:rPr>
        <w:t xml:space="preserve"> — 정식명칭과 지역별 소속·지점 구분. 현장에서는 원문 근거와 확인한 시점을 기록하고, 자동추천만으로 실제 지원 성립을 단정하지 않습니다.</w:t>
      </w:r>
    </w:p>
    <w:p>
      <w:pPr>
        <w:pStyle w:val="ArticleSmall"/>
      </w:pPr>
      <w:r>
        <w:rPr>
          <w:rFonts w:ascii="NanumMyeongjo" w:hAnsi="NanumMyeongjo" w:eastAsia="NanumMyeongjo" w:cs="NanumMyeongjo"/>
          <w:b/>
          <w:i w:val="0"/>
          <w:lang w:val="ko-KR" w:eastAsia="ko-KR"/>
        </w:rPr>
        <w:t>02 식별자 유지</w:t>
      </w:r>
      <w:r>
        <w:rPr>
          <w:rFonts w:ascii="NanumMyeongjo" w:hAnsi="NanumMyeongjo" w:eastAsia="NanumMyeongjo" w:cs="NanumMyeongjo"/>
          <w:b w:val="0"/>
          <w:i w:val="0"/>
          <w:lang w:val="ko-KR" w:eastAsia="ko-KR"/>
        </w:rPr>
        <w:t xml:space="preserve"> — 기관/서비스 ID는 이름 변경에도 보존. 현장에서는 원문 근거와 확인한 시점을 기록하고, 자동추천만으로 실제 지원 성립을 단정하지 않습니다.</w:t>
      </w:r>
    </w:p>
    <w:p>
      <w:pPr>
        <w:pStyle w:val="ArticleSmall"/>
      </w:pPr>
      <w:r>
        <w:rPr>
          <w:rFonts w:ascii="NanumMyeongjo" w:hAnsi="NanumMyeongjo" w:eastAsia="NanumMyeongjo" w:cs="NanumMyeongjo"/>
          <w:b/>
          <w:i w:val="0"/>
          <w:lang w:val="ko-KR" w:eastAsia="ko-KR"/>
        </w:rPr>
        <w:t>03 대상조건</w:t>
      </w:r>
      <w:r>
        <w:rPr>
          <w:rFonts w:ascii="NanumMyeongjo" w:hAnsi="NanumMyeongjo" w:eastAsia="NanumMyeongjo" w:cs="NanumMyeongjo"/>
          <w:b w:val="0"/>
          <w:i w:val="0"/>
          <w:lang w:val="ko-KR" w:eastAsia="ko-KR"/>
        </w:rPr>
        <w:t xml:space="preserve"> — 연령·관할·재학·소득·장애 등의 공식 근거. 현장에서는 원문 근거와 확인한 시점을 기록하고, 자동추천만으로 실제 지원 성립을 단정하지 않습니다.</w:t>
      </w:r>
    </w:p>
    <w:p>
      <w:pPr>
        <w:pStyle w:val="ArticleSmall"/>
      </w:pPr>
      <w:r>
        <w:rPr>
          <w:rFonts w:ascii="NanumMyeongjo" w:hAnsi="NanumMyeongjo" w:eastAsia="NanumMyeongjo" w:cs="NanumMyeongjo"/>
          <w:b/>
          <w:i w:val="0"/>
          <w:lang w:val="ko-KR" w:eastAsia="ko-KR"/>
        </w:rPr>
        <w:t>04 서비스유형</w:t>
      </w:r>
      <w:r>
        <w:rPr>
          <w:rFonts w:ascii="NanumMyeongjo" w:hAnsi="NanumMyeongjo" w:eastAsia="NanumMyeongjo" w:cs="NanumMyeongjo"/>
          <w:b w:val="0"/>
          <w:i w:val="0"/>
          <w:lang w:val="ko-KR" w:eastAsia="ko-KR"/>
        </w:rPr>
        <w:t xml:space="preserve"> — 상담·의료·긴급지원·사례관리 등 구분. 현장에서는 원문 근거와 확인한 시점을 기록하고, 자동추천만으로 실제 지원 성립을 단정하지 않습니다.</w:t>
      </w:r>
    </w:p>
    <w:p>
      <w:pPr>
        <w:pStyle w:val="ArticleSmall"/>
      </w:pPr>
      <w:r>
        <w:rPr>
          <w:rFonts w:ascii="NanumMyeongjo" w:hAnsi="NanumMyeongjo" w:eastAsia="NanumMyeongjo" w:cs="NanumMyeongjo"/>
          <w:b/>
          <w:i w:val="0"/>
          <w:lang w:val="ko-KR" w:eastAsia="ko-KR"/>
        </w:rPr>
        <w:t>05 비용</w:t>
      </w:r>
      <w:r>
        <w:rPr>
          <w:rFonts w:ascii="NanumMyeongjo" w:hAnsi="NanumMyeongjo" w:eastAsia="NanumMyeongjo" w:cs="NanumMyeongjo"/>
          <w:b w:val="0"/>
          <w:i w:val="0"/>
          <w:lang w:val="ko-KR" w:eastAsia="ko-KR"/>
        </w:rPr>
        <w:t xml:space="preserve"> — 무료·유료·본인부담·공적 지원대상 구분. 현장에서는 원문 근거와 확인한 시점을 기록하고, 자동추천만으로 실제 지원 성립을 단정하지 않습니다.</w:t>
      </w:r>
    </w:p>
    <w:p>
      <w:pPr>
        <w:pStyle w:val="ArticleSmall"/>
      </w:pPr>
      <w:r>
        <w:rPr>
          <w:rFonts w:ascii="NanumMyeongjo" w:hAnsi="NanumMyeongjo" w:eastAsia="NanumMyeongjo" w:cs="NanumMyeongjo"/>
          <w:b/>
          <w:i w:val="0"/>
          <w:lang w:val="ko-KR" w:eastAsia="ko-KR"/>
        </w:rPr>
        <w:t>06 담당 창구</w:t>
      </w:r>
      <w:r>
        <w:rPr>
          <w:rFonts w:ascii="NanumMyeongjo" w:hAnsi="NanumMyeongjo" w:eastAsia="NanumMyeongjo" w:cs="NanumMyeongjo"/>
          <w:b w:val="0"/>
          <w:i w:val="0"/>
          <w:lang w:val="ko-KR" w:eastAsia="ko-KR"/>
        </w:rPr>
        <w:t xml:space="preserve"> — 대표전화와 실제 접수부서 분리. 현장에서는 원문 근거와 확인한 시점을 기록하고, 자동추천만으로 실제 지원 성립을 단정하지 않습니다.</w:t>
      </w:r>
    </w:p>
    <w:p>
      <w:pPr>
        <w:pStyle w:val="ArticleSmall"/>
      </w:pPr>
      <w:r>
        <w:rPr>
          <w:rFonts w:ascii="NanumMyeongjo" w:hAnsi="NanumMyeongjo" w:eastAsia="NanumMyeongjo" w:cs="NanumMyeongjo"/>
          <w:b/>
          <w:i w:val="0"/>
          <w:lang w:val="ko-KR" w:eastAsia="ko-KR"/>
        </w:rPr>
        <w:t>07 접수기간</w:t>
      </w:r>
      <w:r>
        <w:rPr>
          <w:rFonts w:ascii="NanumMyeongjo" w:hAnsi="NanumMyeongjo" w:eastAsia="NanumMyeongjo" w:cs="NanumMyeongjo"/>
          <w:b w:val="0"/>
          <w:i w:val="0"/>
          <w:lang w:val="ko-KR" w:eastAsia="ko-KR"/>
        </w:rPr>
        <w:t xml:space="preserve"> — 상시·공모·대기·종료 구분. 현장에서는 원문 근거와 확인한 시점을 기록하고, 자동추천만으로 실제 지원 성립을 단정하지 않습니다.</w:t>
      </w:r>
    </w:p>
    <w:p>
      <w:pPr>
        <w:pStyle w:val="ArticleSmall"/>
      </w:pPr>
      <w:r>
        <w:rPr>
          <w:rFonts w:ascii="NanumMyeongjo" w:hAnsi="NanumMyeongjo" w:eastAsia="NanumMyeongjo" w:cs="NanumMyeongjo"/>
          <w:b/>
          <w:i w:val="0"/>
          <w:lang w:val="ko-KR" w:eastAsia="ko-KR"/>
        </w:rPr>
        <w:t>08 실제 수용</w:t>
      </w:r>
      <w:r>
        <w:rPr>
          <w:rFonts w:ascii="NanumMyeongjo" w:hAnsi="NanumMyeongjo" w:eastAsia="NanumMyeongjo" w:cs="NanumMyeongjo"/>
          <w:b w:val="0"/>
          <w:i w:val="0"/>
          <w:lang w:val="ko-KR" w:eastAsia="ko-KR"/>
        </w:rPr>
        <w:t xml:space="preserve"> — 남은 예산·대기·정원은 직접 확인. 현장에서는 원문 근거와 확인한 시점을 기록하고, 자동추천만으로 실제 지원 성립을 단정하지 않습니다.</w:t>
      </w:r>
    </w:p>
    <w:p>
      <w:pPr>
        <w:pStyle w:val="ArticleSmall"/>
      </w:pPr>
      <w:r>
        <w:rPr>
          <w:rFonts w:ascii="NanumMyeongjo" w:hAnsi="NanumMyeongjo" w:eastAsia="NanumMyeongjo" w:cs="NanumMyeongjo"/>
          <w:b/>
          <w:i w:val="0"/>
          <w:lang w:val="ko-KR" w:eastAsia="ko-KR"/>
        </w:rPr>
        <w:t>09 출처</w:t>
      </w:r>
      <w:r>
        <w:rPr>
          <w:rFonts w:ascii="NanumMyeongjo" w:hAnsi="NanumMyeongjo" w:eastAsia="NanumMyeongjo" w:cs="NanumMyeongjo"/>
          <w:b w:val="0"/>
          <w:i w:val="0"/>
          <w:lang w:val="ko-KR" w:eastAsia="ko-KR"/>
        </w:rPr>
        <w:t xml:space="preserve"> — 공고 원문·공식 서비스 페이지 저장. 현장에서는 원문 근거와 확인한 시점을 기록하고, 자동추천만으로 실제 지원 성립을 단정하지 않습니다.</w:t>
      </w:r>
    </w:p>
    <w:p>
      <w:pPr>
        <w:pStyle w:val="ArticleSmall"/>
      </w:pPr>
      <w:r>
        <w:rPr>
          <w:rFonts w:ascii="NanumMyeongjo" w:hAnsi="NanumMyeongjo" w:eastAsia="NanumMyeongjo" w:cs="NanumMyeongjo"/>
          <w:b/>
          <w:i w:val="0"/>
          <w:lang w:val="ko-KR" w:eastAsia="ko-KR"/>
        </w:rPr>
        <w:t>10 검증기록</w:t>
      </w:r>
      <w:r>
        <w:rPr>
          <w:rFonts w:ascii="NanumMyeongjo" w:hAnsi="NanumMyeongjo" w:eastAsia="NanumMyeongjo" w:cs="NanumMyeongjo"/>
          <w:b w:val="0"/>
          <w:i w:val="0"/>
          <w:lang w:val="ko-KR" w:eastAsia="ko-KR"/>
        </w:rPr>
        <w:t xml:space="preserve"> — 확인일·방법·공개 담당역할 기록. 현장에서는 원문 근거와 확인한 시점을 기록하고, 자동추천만으로 실제 지원 성립을 단정하지 않습니다.</w:t>
      </w:r>
    </w:p>
    <w:p>
      <w:pPr>
        <w:pStyle w:val="ArticleSmall"/>
      </w:pPr>
      <w:r>
        <w:rPr>
          <w:rFonts w:ascii="NanumMyeongjo" w:hAnsi="NanumMyeongjo" w:eastAsia="NanumMyeongjo" w:cs="NanumMyeongjo"/>
          <w:b/>
          <w:i w:val="0"/>
          <w:lang w:val="ko-KR" w:eastAsia="ko-KR"/>
        </w:rPr>
        <w:t>11 유효기간</w:t>
      </w:r>
      <w:r>
        <w:rPr>
          <w:rFonts w:ascii="NanumMyeongjo" w:hAnsi="NanumMyeongjo" w:eastAsia="NanumMyeongjo" w:cs="NanumMyeongjo"/>
          <w:b w:val="0"/>
          <w:i w:val="0"/>
          <w:lang w:val="ko-KR" w:eastAsia="ko-KR"/>
        </w:rPr>
        <w:t xml:space="preserve"> — 기한 지난 정보는 자동 확정 표시 금지. 현장에서는 원문 근거와 확인한 시점을 기록하고, 자동추천만으로 실제 지원 성립을 단정하지 않습니다.</w:t>
      </w:r>
    </w:p>
    <w:p>
      <w:pPr>
        <w:pStyle w:val="ArticleSmall"/>
      </w:pPr>
      <w:r>
        <w:rPr>
          <w:rFonts w:ascii="NanumMyeongjo" w:hAnsi="NanumMyeongjo" w:eastAsia="NanumMyeongjo" w:cs="NanumMyeongjo"/>
          <w:b/>
          <w:i w:val="0"/>
          <w:lang w:val="ko-KR" w:eastAsia="ko-KR"/>
        </w:rPr>
        <w:t>12 주소</w:t>
      </w:r>
      <w:r>
        <w:rPr>
          <w:rFonts w:ascii="NanumMyeongjo" w:hAnsi="NanumMyeongjo" w:eastAsia="NanumMyeongjo" w:cs="NanumMyeongjo"/>
          <w:b w:val="0"/>
          <w:i w:val="0"/>
          <w:lang w:val="ko-KR" w:eastAsia="ko-KR"/>
        </w:rPr>
        <w:t xml:space="preserve"> — 본부·상담소·보호시설·비방문 서비스 구분. 현장에서는 원문 근거와 확인한 시점을 기록하고, 자동추천만으로 실제 지원 성립을 단정하지 않습니다.</w:t>
      </w:r>
    </w:p>
    <w:p>
      <w:pPr>
        <w:pStyle w:val="ArticleSmall"/>
      </w:pPr>
      <w:r>
        <w:rPr>
          <w:rFonts w:ascii="NanumMyeongjo" w:hAnsi="NanumMyeongjo" w:eastAsia="NanumMyeongjo" w:cs="NanumMyeongjo"/>
          <w:b/>
          <w:i w:val="0"/>
          <w:lang w:val="ko-KR" w:eastAsia="ko-KR"/>
        </w:rPr>
        <w:t>13 대체경로</w:t>
      </w:r>
      <w:r>
        <w:rPr>
          <w:rFonts w:ascii="NanumMyeongjo" w:hAnsi="NanumMyeongjo" w:eastAsia="NanumMyeongjo" w:cs="NanumMyeongjo"/>
          <w:b w:val="0"/>
          <w:i w:val="0"/>
          <w:lang w:val="ko-KR" w:eastAsia="ko-KR"/>
        </w:rPr>
        <w:t xml:space="preserve"> — 부적합·중단 시 같은 욕구의 후보 안내. 현장에서는 원문 근거와 확인한 시점을 기록하고, 자동추천만으로 실제 지원 성립을 단정하지 않습니다.</w:t>
      </w:r>
    </w:p>
    <w:p>
      <w:pPr>
        <w:pStyle w:val="ArticleSmall"/>
      </w:pPr>
      <w:r>
        <w:rPr>
          <w:rFonts w:ascii="NanumMyeongjo" w:hAnsi="NanumMyeongjo" w:eastAsia="NanumMyeongjo" w:cs="NanumMyeongjo"/>
          <w:b/>
          <w:i w:val="0"/>
          <w:lang w:val="ko-KR" w:eastAsia="ko-KR"/>
        </w:rPr>
        <w:t>14 개인정보</w:t>
      </w:r>
      <w:r>
        <w:rPr>
          <w:rFonts w:ascii="NanumMyeongjo" w:hAnsi="NanumMyeongjo" w:eastAsia="NanumMyeongjo" w:cs="NanumMyeongjo"/>
          <w:b w:val="0"/>
          <w:i w:val="0"/>
          <w:lang w:val="ko-KR" w:eastAsia="ko-KR"/>
        </w:rPr>
        <w:t xml:space="preserve"> — 기관 공개정보와 사례기록 저장소 분리. 현장에서는 원문 근거와 확인한 시점을 기록하고, 자동추천만으로 실제 지원 성립을 단정하지 않습니다.</w:t>
      </w:r>
    </w:p>
    <w:p>
      <w:pPr>
        <w:pStyle w:val="ArticleSmall"/>
      </w:pPr>
      <w:r>
        <w:rPr>
          <w:rFonts w:ascii="NanumMyeongjo" w:hAnsi="NanumMyeongjo" w:eastAsia="NanumMyeongjo" w:cs="NanumMyeongjo"/>
          <w:b/>
          <w:i w:val="0"/>
          <w:lang w:val="ko-KR" w:eastAsia="ko-KR"/>
        </w:rPr>
        <w:t>15 변경 이력</w:t>
      </w:r>
      <w:r>
        <w:rPr>
          <w:rFonts w:ascii="NanumMyeongjo" w:hAnsi="NanumMyeongjo" w:eastAsia="NanumMyeongjo" w:cs="NanumMyeongjo"/>
          <w:b w:val="0"/>
          <w:i w:val="0"/>
          <w:lang w:val="ko-KR" w:eastAsia="ko-KR"/>
        </w:rPr>
        <w:t xml:space="preserve"> — 폐지·서비스 통합·접수 변경을 로그로 보존. 현장에서는 원문 근거와 확인한 시점을 기록하고, 자동추천만으로 실제 지원 성립을 단정하지 않습니다.</w:t>
      </w:r>
    </w:p>
    <w:p>
      <w:pPr>
        <w:pStyle w:val="ArticleSmall"/>
      </w:pPr>
      <w:r>
        <w:rPr>
          <w:rFonts w:ascii="NanumMyeongjo" w:hAnsi="NanumMyeongjo" w:eastAsia="NanumMyeongjo" w:cs="NanumMyeongjo"/>
          <w:b/>
          <w:i w:val="0"/>
          <w:lang w:val="ko-KR" w:eastAsia="ko-KR"/>
        </w:rPr>
        <w:t>16 성과추적</w:t>
      </w:r>
      <w:r>
        <w:rPr>
          <w:rFonts w:ascii="NanumMyeongjo" w:hAnsi="NanumMyeongjo" w:eastAsia="NanumMyeongjo" w:cs="NanumMyeongjo"/>
          <w:b w:val="0"/>
          <w:i w:val="0"/>
          <w:lang w:val="ko-KR" w:eastAsia="ko-KR"/>
        </w:rPr>
        <w:t xml:space="preserve"> — 추천→문의→접수→제공→성과 분리. 현장에서는 원문 근거와 확인한 시점을 기록하고, 자동추천만으로 실제 지원 성립을 단정하지 않습니다.</w:t>
      </w:r>
    </w:p>
    <w:p>
      <w:pPr>
        <w:pStyle w:val="ArticleH1"/>
      </w:pPr>
      <w:r>
        <w:rPr>
          <w:rFonts w:ascii="NanumMyeongjo" w:hAnsi="NanumMyeongjo" w:eastAsia="NanumMyeongjo" w:cs="NanumMyeongjo"/>
          <w:b w:val="0"/>
          <w:i w:val="0"/>
          <w:lang w:val="ko-KR" w:eastAsia="ko-KR"/>
        </w:rPr>
        <w:t>부록 C. 연구 실시 시 제출할 자료 묶음</w:t>
      </w:r>
    </w:p>
    <w:p>
      <w:pPr>
        <w:pStyle w:val="ArticleSmall"/>
      </w:pPr>
      <w:r>
        <w:rPr>
          <w:rFonts w:ascii="NanumMyeongjo" w:hAnsi="NanumMyeongjo" w:eastAsia="NanumMyeongjo" w:cs="NanumMyeongjo"/>
          <w:b w:val="0"/>
          <w:i w:val="0"/>
          <w:lang w:val="ko-KR" w:eastAsia="ko-KR"/>
        </w:rPr>
        <w:t>• IRB 또는 해당 기관의 연구윤리 검토 결과 및 보호자·청소년 설명문</w:t>
      </w:r>
    </w:p>
    <w:p>
      <w:pPr>
        <w:pStyle w:val="ArticleSmall"/>
      </w:pPr>
      <w:r>
        <w:rPr>
          <w:rFonts w:ascii="NanumMyeongjo" w:hAnsi="NanumMyeongjo" w:eastAsia="NanumMyeongjo" w:cs="NanumMyeongjo"/>
          <w:b w:val="0"/>
          <w:i w:val="0"/>
          <w:lang w:val="ko-KR" w:eastAsia="ko-KR"/>
        </w:rPr>
        <w:t>• 문항별 정의서·점수앵커·안전 분기 및 미상 처리 명세</w:t>
      </w:r>
    </w:p>
    <w:p>
      <w:pPr>
        <w:pStyle w:val="ArticleSmall"/>
      </w:pPr>
      <w:r>
        <w:rPr>
          <w:rFonts w:ascii="NanumMyeongjo" w:hAnsi="NanumMyeongjo" w:eastAsia="NanumMyeongjo" w:cs="NanumMyeongjo"/>
          <w:b w:val="0"/>
          <w:i w:val="0"/>
          <w:lang w:val="ko-KR" w:eastAsia="ko-KR"/>
        </w:rPr>
        <w:t>• 분석 계획서: 주 분석단위, 기준시점, 결측 처리, 주요 정확도 지표</w:t>
      </w:r>
    </w:p>
    <w:p>
      <w:pPr>
        <w:pStyle w:val="ArticleSmall"/>
      </w:pPr>
      <w:r>
        <w:rPr>
          <w:rFonts w:ascii="NanumMyeongjo" w:hAnsi="NanumMyeongjo" w:eastAsia="NanumMyeongjo" w:cs="NanumMyeongjo"/>
          <w:b w:val="0"/>
          <w:i w:val="0"/>
          <w:lang w:val="ko-KR" w:eastAsia="ko-KR"/>
        </w:rPr>
        <w:t>• 전문가 평가자 안내문과 블라인드 평가 데이터셋 정의</w:t>
      </w:r>
    </w:p>
    <w:p>
      <w:pPr>
        <w:pStyle w:val="ArticleSmall"/>
      </w:pPr>
      <w:r>
        <w:rPr>
          <w:rFonts w:ascii="NanumMyeongjo" w:hAnsi="NanumMyeongjo" w:eastAsia="NanumMyeongjo" w:cs="NanumMyeongjo"/>
          <w:b w:val="0"/>
          <w:i w:val="0"/>
          <w:lang w:val="ko-KR" w:eastAsia="ko-KR"/>
        </w:rPr>
        <w:t>• 가상 테스트와 실제 표본 데이터의 혼재 방지 프로토콜</w:t>
      </w:r>
    </w:p>
    <w:p>
      <w:pPr>
        <w:pStyle w:val="ArticleSmall"/>
      </w:pPr>
      <w:r>
        <w:rPr>
          <w:rFonts w:ascii="NanumMyeongjo" w:hAnsi="NanumMyeongjo" w:eastAsia="NanumMyeongjo" w:cs="NanumMyeongjo"/>
          <w:b w:val="0"/>
          <w:i w:val="0"/>
          <w:lang w:val="ko-KR" w:eastAsia="ko-KR"/>
        </w:rPr>
        <w:t>• 외부 검증 기관·표본과 개발자 자료를 분리한 버전 계획</w:t>
      </w:r>
    </w:p>
    <w:p>
      <w:pPr>
        <w:pStyle w:val="ArticleSmall"/>
      </w:pPr>
      <w:r>
        <w:rPr>
          <w:rFonts w:ascii="NanumMyeongjo" w:hAnsi="NanumMyeongjo" w:eastAsia="NanumMyeongjo" w:cs="NanumMyeongjo"/>
          <w:b w:val="0"/>
          <w:i w:val="0"/>
          <w:lang w:val="ko-KR" w:eastAsia="ko-KR"/>
        </w:rPr>
        <w:t>• 접수·제공·효과에 관한 실제 서비스 추적과 사후관리 기록</w:t>
      </w:r>
    </w:p>
    <w:p>
      <w:pPr>
        <w:pStyle w:val="ArticleSmall"/>
      </w:pPr>
      <w:r>
        <w:rPr>
          <w:rFonts w:ascii="NanumMyeongjo" w:hAnsi="NanumMyeongjo" w:eastAsia="NanumMyeongjo" w:cs="NanumMyeongjo"/>
          <w:b w:val="0"/>
          <w:i w:val="0"/>
          <w:lang w:val="ko-KR" w:eastAsia="ko-KR"/>
        </w:rPr>
        <w:t>• 편향·차별·신고지연 등 잠재 위해 모니터링 계획</w:t>
      </w:r>
    </w:p>
    <w:p>
      <w:pPr>
        <w:pStyle w:val="ArticleSmall"/>
      </w:pPr>
      <w:r>
        <w:rPr>
          <w:rFonts w:ascii="NanumMyeongjo" w:hAnsi="NanumMyeongjo" w:eastAsia="NanumMyeongjo" w:cs="NanumMyeongjo"/>
          <w:b w:val="0"/>
          <w:i w:val="0"/>
          <w:lang w:val="ko-KR" w:eastAsia="ko-KR"/>
        </w:rPr>
        <w:t>• 개인정보 최소수집·접근통제·반출절차·보관/폐기 기준</w:t>
      </w:r>
    </w:p>
    <w:p>
      <w:pPr>
        <w:pStyle w:val="ArticleSmall"/>
      </w:pPr>
      <w:r>
        <w:rPr>
          <w:rFonts w:ascii="NanumMyeongjo" w:hAnsi="NanumMyeongjo" w:eastAsia="NanumMyeongjo" w:cs="NanumMyeongjo"/>
          <w:b w:val="0"/>
          <w:i w:val="0"/>
          <w:lang w:val="ko-KR" w:eastAsia="ko-KR"/>
        </w:rPr>
        <w:t>• 검사 변경 전후 반복측정·회귀검사·실증결과 공개 계획</w:t>
      </w:r>
    </w:p>
    <w:p>
      <w:pPr>
        <w:pStyle w:val="ArticleH1"/>
      </w:pPr>
      <w:r>
        <w:rPr>
          <w:rFonts w:ascii="NanumMyeongjo" w:hAnsi="NanumMyeongjo" w:eastAsia="NanumMyeongjo" w:cs="NanumMyeongjo"/>
          <w:b w:val="0"/>
          <w:i w:val="0"/>
          <w:lang w:val="ko-KR" w:eastAsia="ko-KR"/>
        </w:rPr>
        <w:t xml:space="preserve">부록 D. 개정판 변경 사항(2026.10.26)</w:t>
      </w:r>
    </w:p>
    <w:p>
      <w:pPr>
        <w:pStyle w:val="ArticleSmall"/>
      </w:pPr>
      <w:r>
        <w:rPr>
          <w:rFonts w:ascii="NanumMyeongjo" w:hAnsi="NanumMyeongjo" w:eastAsia="NanumMyeongjo" w:cs="NanumMyeongjo"/>
          <w:b w:val="0"/>
          <w:i w:val="0"/>
          <w:lang w:val="ko-KR" w:eastAsia="ko-KR"/>
        </w:rPr>
        <w:t xml:space="preserve">• 기준 소스를 main 963f0d7로 다시 확인하고 화면 명칭을 현재 메뉴(01 선별평가·결과해석 ~ 05 사례기록·모니터링, 결과 탭 ①~③)에 맞추었다.</w:t>
      </w:r>
    </w:p>
    <w:p>
      <w:pPr>
        <w:pStyle w:val="ArticleSmall"/>
      </w:pPr>
      <w:r>
        <w:rPr>
          <w:rFonts w:ascii="NanumMyeongjo" w:hAnsi="NanumMyeongjo" w:eastAsia="NanumMyeongjo" w:cs="NanumMyeongjo"/>
          <w:b w:val="0"/>
          <w:i w:val="0"/>
          <w:lang w:val="ko-KR" w:eastAsia="ko-KR"/>
        </w:rPr>
        <w:t xml:space="preserve">• 5.2~5.4 신설: 해석 계층 개편, 세 가지 단계 표시의 구분, 화면 구성과 화면 그림 2개.</w:t>
      </w:r>
    </w:p>
    <w:p>
      <w:pPr>
        <w:pStyle w:val="ArticleSmall"/>
      </w:pPr>
      <w:r>
        <w:rPr>
          <w:rFonts w:ascii="NanumMyeongjo" w:hAnsi="NanumMyeongjo" w:eastAsia="NanumMyeongjo" w:cs="NanumMyeongjo"/>
          <w:b w:val="0"/>
          <w:i w:val="0"/>
          <w:lang w:val="ko-KR" w:eastAsia="ko-KR"/>
        </w:rPr>
        <w:t xml:space="preserve">• 3.1 공통 앵커 문구를 운영 코드와 일치시키고 문항별 앵커(125개 기술문)를 기술하였다.</w:t>
      </w:r>
    </w:p>
    <w:p>
      <w:pPr>
        <w:pStyle w:val="ArticleSmall"/>
      </w:pPr>
      <w:r>
        <w:rPr>
          <w:rFonts w:ascii="NanumMyeongjo" w:hAnsi="NanumMyeongjo" w:eastAsia="NanumMyeongjo" w:cs="NanumMyeongjo"/>
          <w:b w:val="0"/>
          <w:i w:val="0"/>
          <w:lang w:val="ko-KR" w:eastAsia="ko-KR"/>
        </w:rPr>
        <w:t xml:space="preserve">• 6장의 문항별 반복 문구를 문항별 관찰 단서와 첫 질문 예로 바꾸었다.</w:t>
      </w:r>
    </w:p>
    <w:p>
      <w:pPr>
        <w:pStyle w:val="ArticleSmall"/>
      </w:pPr>
      <w:r>
        <w:rPr>
          <w:rFonts w:ascii="NanumMyeongjo" w:hAnsi="NanumMyeongjo" w:eastAsia="NanumMyeongjo" w:cs="NanumMyeongjo"/>
          <w:b w:val="0"/>
          <w:i w:val="0"/>
          <w:lang w:val="ko-KR" w:eastAsia="ko-KR"/>
        </w:rPr>
        <w:t xml:space="preserve">• 7.2 신설: 해석지 23개 교차 패턴의 활성화 조건 표.</w:t>
      </w:r>
    </w:p>
    <w:p>
      <w:pPr>
        <w:pStyle w:val="ArticleSmall"/>
      </w:pPr>
      <w:r>
        <w:rPr>
          <w:rFonts w:ascii="NanumMyeongjo" w:hAnsi="NanumMyeongjo" w:eastAsia="NanumMyeongjo" w:cs="NanumMyeongjo"/>
          <w:b w:val="0"/>
          <w:i w:val="0"/>
          <w:lang w:val="ko-KR" w:eastAsia="ko-KR"/>
        </w:rPr>
        <w:t xml:space="preserve">• 8.5 신설과 8장 수치 갱신: 자원 데이터 확인 상태(확인완료 15, 사업별 확인 필요 78, 미확인 127), 자원 카드의 확인 배지·접수 상태 분리.</w:t>
      </w:r>
    </w:p>
    <w:p>
      <w:pPr>
        <w:pStyle w:val="ArticleSmall"/>
      </w:pPr>
      <w:r>
        <w:rPr>
          <w:rFonts w:ascii="NanumMyeongjo" w:hAnsi="NanumMyeongjo" w:eastAsia="NanumMyeongjo" w:cs="NanumMyeongjo"/>
          <w:b w:val="0"/>
          <w:i w:val="0"/>
          <w:lang w:val="ko-KR" w:eastAsia="ko-KR"/>
        </w:rPr>
        <w:t xml:space="preserve">• 10.0 신설: AI에 묻기 패널, 외부 AI 요청문, 04 자문 모음, OY-CIE 대화창의 위치 변경.</w:t>
      </w:r>
    </w:p>
    <w:p>
      <w:pPr>
        <w:pStyle w:val="ArticleSmall"/>
      </w:pPr>
      <w:r>
        <w:rPr>
          <w:rFonts w:ascii="NanumMyeongjo" w:hAnsi="NanumMyeongjo" w:eastAsia="NanumMyeongjo" w:cs="NanumMyeongjo"/>
          <w:b w:val="0"/>
          <w:i w:val="0"/>
          <w:lang w:val="ko-KR" w:eastAsia="ko-KR"/>
        </w:rPr>
        <w:t xml:space="preserve">• 13장 가상 사례마다 해석지 표시값(개입 수준·요약·첫 행동)을 코드 재실행으로 추가하였다.</w:t>
      </w:r>
    </w:p>
    <w:p>
      <w:pPr>
        <w:pStyle w:val="ArticleSmall"/>
      </w:pPr>
      <w:r>
        <w:rPr>
          <w:rFonts w:ascii="NanumMyeongjo" w:hAnsi="NanumMyeongjo" w:eastAsia="NanumMyeongjo" w:cs="NanumMyeongjo"/>
          <w:b w:val="0"/>
          <w:i w:val="0"/>
          <w:lang w:val="ko-KR" w:eastAsia="ko-KR"/>
        </w:rPr>
        <w:t xml:space="preserve">• 5.3의 7번 문항 불일치를 해결됨으로 고치고, 안전 수정(main 963f0d7) 후의 코드 재실행 값으로 13장 사례 D·E의 표시값을 갱신하였다.</w:t>
      </w:r>
    </w:p>
    <w:p>
      <w:pPr>
        <w:pStyle w:val="ArticleSmall"/>
      </w:pPr>
      <w:r>
        <w:rPr>
          <w:rFonts w:ascii="NanumMyeongjo" w:hAnsi="NanumMyeongjo" w:eastAsia="NanumMyeongjo" w:cs="NanumMyeongjo"/>
          <w:b w:val="0"/>
          <w:i w:val="0"/>
          <w:lang w:val="ko-KR" w:eastAsia="ko-KR"/>
        </w:rPr>
        <w:t xml:space="preserve">• 표·그림 제목을 내용 중심으로 고치고 번호를 다시 매겼으며, 참고문헌에 개발 소스 8건을 추가하였다. 출처를 확인하지 못한 외부 일정 수치(정보시스템 구축 연도)는 삭제하였다.</w:t>
      </w:r>
    </w:p>
    <w:p>
      <w:pPr>
        <w:pStyle w:val="ArticleH1"/>
      </w:pPr>
      <w:r>
        <w:rPr>
          <w:rFonts w:ascii="NanumMyeongjo" w:hAnsi="NanumMyeongjo" w:eastAsia="NanumMyeongjo" w:cs="NanumMyeongjo"/>
          <w:b w:val="0"/>
          <w:i w:val="0"/>
          <w:lang w:val="ko-KR" w:eastAsia="ko-KR"/>
        </w:rPr>
        <w:t>편집방식 및 출처 고지</w:t>
      </w:r>
    </w:p>
    <w:p>
      <w:pPr>
        <w:pStyle w:val="ArticleSmall"/>
      </w:pPr>
      <w:r>
        <w:rPr>
          <w:rFonts w:ascii="NanumMyeongjo" w:hAnsi="NanumMyeongjo" w:eastAsia="NanumMyeongjo" w:cs="NanumMyeongjo"/>
          <w:b w:val="0"/>
          <w:i w:val="0"/>
          <w:lang w:val="ko-KR" w:eastAsia="ko-KR"/>
        </w:rPr>
        <w:t>본 문서는 국내 사회복지 학술지의 제목·본문·문단·표 편집 규정과 APA 제7판의 학술문서 구성 원칙을 참조하여 Word A4 환경에 적합하도록 재편집하였다. 한국사회복지학회는 한국어 본문 KoPubWorld 바탕체 10pt, 줄간격 165%, 첫 줄 들여쓰기 10pt, 표내용 9pt 등을 제시한다. 본 파일은 다른 환경에서도 표기가 안정적인 나눔명조/나눔고딕으로 대체했고, 본문 10.2pt·1.58배 행간·첫 줄 3.5mm·A4 좌우 여백 25mm를 적용하였다. 학회 투고전용 판형·HWP 규정을 완전히 동일하게 재현한 투고양식은 아니며, 특정 학술지 투고 시 해당 저널의 최신 지침에 맞춰 조정해야 한다.</w:t>
      </w:r>
    </w:p>
    <w:p>
      <w:pPr>
        <w:pStyle w:val="ArticleReference"/>
      </w:pPr>
      <w:r>
        <w:rPr>
          <w:rFonts w:ascii="NanumMyeongjo" w:hAnsi="NanumMyeongjo" w:eastAsia="NanumMyeongjo" w:cs="NanumMyeongjo"/>
          <w:b w:val="0"/>
          <w:i w:val="0"/>
          <w:lang w:val="ko-KR" w:eastAsia="ko-KR"/>
        </w:rPr>
        <w:t>참조: 한국사회복지학회, 「논문집필요령」 https://kasw.org/homepage/custom/guidelines; 한국교정복지학회, 「논문 투고 규정」 https://www.cwsk.net/subList/20000000771; American Psychological Association, APA Style: Paper Format, https://apastyle.apa.org/style-grammar-guidelines/paper-format.</w:t>
      </w:r>
    </w:p>
    <w:sectPr w:rsidR="00FC693F" w:rsidRPr="0006063C" w:rsidSect="00034616">
      <w:headerReference w:type="default" r:id="rId9"/>
      <w:footerReference w:type="default" r:id="rId10"/>
      <w:pgSz w:w="11906" w:h="16838"/>
      <w:pgMar w:top="1276" w:right="1417" w:bottom="1191" w:left="1417" w:header="624" w:footer="65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anumGothic" w:hAnsi="NanumGothic" w:eastAsia="NanumGothic" w:cs="NanumGothic"/>
        <w:color w:val="4A4E55"/>
        <w:sz w:val="15"/>
        <w:lang w:val="ko-KR" w:eastAsia="ko-KR"/>
      </w:rPr>
      <w:t xml:space="preserve">오산 청소년 위기징후 평가연계 시스템  ·  비표준화 TEST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anumGothic" w:hAnsi="NanumGothic" w:eastAsia="NanumGothic" w:cs="NanumGothic"/>
        <w:color w:val="4A4E55"/>
        <w:sz w:val="14"/>
        <w:lang w:val="ko-KR" w:eastAsia="ko-KR"/>
      </w:rPr>
      <w:t>OY-RALS  |  RESEARCH &amp; PRACTICE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79" w:lineRule="auto" w:after="0"/>
      <w:ind w:firstLine="198"/>
    </w:pPr>
    <w:rPr>
      <w:rFonts w:ascii="NanumMyeongjo" w:hAnsi="NanumMyeongjo"/>
      <w:color w:val="181B2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icleTitle">
    <w:name w:val="ArticleTitle"/>
    <w:pPr>
      <w:keepNext/>
      <w:widowControl/>
      <w:spacing w:before="200" w:after="280" w:line="324" w:lineRule="auto"/>
      <w:ind w:firstLine="0"/>
      <w:jc w:val="center"/>
    </w:pPr>
    <w:rPr>
      <w:rFonts w:ascii="NanumMyeongjo" w:hAnsi="NanumMyeongjo"/>
      <w:b/>
      <w:color w:val="181B20"/>
      <w:sz w:val="36"/>
    </w:rPr>
  </w:style>
  <w:style w:type="paragraph" w:customStyle="1" w:styleId="ArticleSubtitle">
    <w:name w:val="ArticleSubtitle"/>
    <w:pPr>
      <w:keepNext/>
      <w:widowControl/>
      <w:spacing w:before="100" w:after="240" w:line="348" w:lineRule="auto"/>
      <w:ind w:firstLine="0"/>
      <w:jc w:val="center"/>
    </w:pPr>
    <w:rPr>
      <w:rFonts w:ascii="NanumGothic" w:hAnsi="NanumGothic"/>
      <w:b w:val="0"/>
      <w:color w:val="4A4E55"/>
      <w:sz w:val="22"/>
    </w:rPr>
  </w:style>
  <w:style w:type="paragraph" w:customStyle="1" w:styleId="ArticleMeta">
    <w:name w:val="ArticleMeta"/>
    <w:pPr>
      <w:keepNext w:val="0"/>
      <w:widowControl/>
      <w:spacing w:before="80" w:after="120" w:line="324" w:lineRule="auto"/>
      <w:ind w:firstLine="0"/>
      <w:jc w:val="center"/>
    </w:pPr>
    <w:rPr>
      <w:rFonts w:ascii="NanumGothic" w:hAnsi="NanumGothic"/>
      <w:b w:val="0"/>
      <w:color w:val="4A4E55"/>
      <w:sz w:val="18"/>
    </w:rPr>
  </w:style>
  <w:style w:type="paragraph" w:customStyle="1" w:styleId="ArticleH1">
    <w:name w:val="ArticleH1"/>
    <w:pPr>
      <w:keepNext/>
      <w:widowControl/>
      <w:spacing w:before="360" w:after="180" w:line="336" w:lineRule="auto"/>
      <w:ind w:firstLine="0"/>
    </w:pPr>
    <w:rPr>
      <w:rFonts w:ascii="NanumMyeongjo" w:hAnsi="NanumMyeongjo"/>
      <w:b/>
      <w:color w:val="181B20"/>
      <w:sz w:val="27"/>
    </w:rPr>
  </w:style>
  <w:style w:type="paragraph" w:customStyle="1" w:styleId="ArticleH2">
    <w:name w:val="ArticleH2"/>
    <w:pPr>
      <w:keepNext/>
      <w:widowControl/>
      <w:spacing w:before="260" w:after="120" w:line="348" w:lineRule="auto"/>
      <w:ind w:firstLine="0"/>
    </w:pPr>
    <w:rPr>
      <w:rFonts w:ascii="NanumGothic" w:hAnsi="NanumGothic"/>
      <w:b/>
      <w:color w:val="181B20"/>
      <w:sz w:val="22"/>
    </w:rPr>
  </w:style>
  <w:style w:type="paragraph" w:customStyle="1" w:styleId="ArticleH3">
    <w:name w:val="ArticleH3"/>
    <w:pPr>
      <w:keepNext/>
      <w:widowControl/>
      <w:spacing w:before="180" w:after="80" w:line="336" w:lineRule="auto"/>
      <w:ind w:firstLine="0"/>
    </w:pPr>
    <w:rPr>
      <w:rFonts w:ascii="NanumGothic" w:hAnsi="NanumGothic"/>
      <w:b/>
      <w:color w:val="181B20"/>
      <w:sz w:val="20"/>
    </w:rPr>
  </w:style>
  <w:style w:type="paragraph" w:customStyle="1" w:styleId="ArticleBody">
    <w:name w:val="ArticleBody"/>
    <w:pPr>
      <w:keepNext w:val="0"/>
      <w:widowControl/>
      <w:spacing w:before="0" w:after="0" w:line="379" w:lineRule="auto"/>
      <w:ind w:firstLine="198"/>
    </w:pPr>
    <w:rPr>
      <w:rFonts w:ascii="NanumMyeongjo" w:hAnsi="NanumMyeongjo"/>
      <w:b w:val="0"/>
      <w:color w:val="181B20"/>
      <w:sz w:val="20"/>
    </w:rPr>
  </w:style>
  <w:style w:type="paragraph" w:customStyle="1" w:styleId="ArticleSmall">
    <w:name w:val="ArticleSmall"/>
    <w:pPr>
      <w:keepNext w:val="0"/>
      <w:widowControl/>
      <w:spacing w:before="0" w:after="60" w:line="350" w:lineRule="auto"/>
      <w:ind w:firstLine="198"/>
    </w:pPr>
    <w:rPr>
      <w:rFonts w:ascii="NanumMyeongjo" w:hAnsi="NanumMyeongjo"/>
      <w:b w:val="0"/>
      <w:color w:val="181B20"/>
      <w:sz w:val="19"/>
    </w:rPr>
  </w:style>
  <w:style w:type="paragraph" w:customStyle="1" w:styleId="ArticleNote">
    <w:name w:val="ArticleNote"/>
    <w:pPr>
      <w:keepNext w:val="0"/>
      <w:widowControl/>
      <w:spacing w:before="80" w:after="160" w:line="336" w:lineRule="auto"/>
      <w:ind w:firstLine="0"/>
    </w:pPr>
    <w:rPr>
      <w:rFonts w:ascii="NanumMyeongjo" w:hAnsi="NanumMyeongjo"/>
      <w:b w:val="0"/>
      <w:color w:val="4A4E55"/>
      <w:sz w:val="18"/>
    </w:rPr>
  </w:style>
  <w:style w:type="paragraph" w:customStyle="1" w:styleId="ArticleCaption">
    <w:name w:val="ArticleCaption"/>
    <w:pPr>
      <w:keepNext w:val="0"/>
      <w:widowControl/>
      <w:spacing w:before="100" w:after="140" w:line="336" w:lineRule="auto"/>
      <w:ind w:firstLine="0"/>
    </w:pPr>
    <w:rPr>
      <w:rFonts w:ascii="NanumMyeongjo" w:hAnsi="NanumMyeongjo"/>
      <w:b w:val="0"/>
      <w:color w:val="4A4E55"/>
      <w:sz w:val="18"/>
    </w:rPr>
  </w:style>
  <w:style w:type="paragraph" w:customStyle="1" w:styleId="ArticleTableLabel">
    <w:name w:val="ArticleTableLabel"/>
    <w:pPr>
      <w:keepNext/>
      <w:widowControl/>
      <w:spacing w:before="160" w:after="80" w:line="336" w:lineRule="auto"/>
      <w:ind w:firstLine="0"/>
    </w:pPr>
    <w:rPr>
      <w:rFonts w:ascii="NanumGothic" w:hAnsi="NanumGothic"/>
      <w:b/>
      <w:color w:val="181B20"/>
      <w:sz w:val="18"/>
    </w:rPr>
  </w:style>
  <w:style w:type="paragraph" w:customStyle="1" w:styleId="ArticleTOC">
    <w:name w:val="ArticleTOC"/>
    <w:pPr>
      <w:keepNext w:val="0"/>
      <w:widowControl/>
      <w:spacing w:before="40" w:after="60" w:line="372" w:lineRule="auto"/>
      <w:ind w:firstLine="0"/>
    </w:pPr>
    <w:rPr>
      <w:rFonts w:ascii="NanumMyeongjo" w:hAnsi="NanumMyeongjo"/>
      <w:b w:val="0"/>
      <w:color w:val="181B20"/>
      <w:sz w:val="20"/>
    </w:rPr>
  </w:style>
  <w:style w:type="paragraph" w:customStyle="1" w:styleId="ArticleReference">
    <w:name w:val="ArticleReference"/>
    <w:pPr>
      <w:keepNext w:val="0"/>
      <w:widowControl/>
      <w:spacing w:before="0" w:after="80" w:line="343" w:lineRule="auto"/>
      <w:ind w:firstLine="0"/>
    </w:pPr>
    <w:rPr>
      <w:rFonts w:ascii="NanumMyeongjo" w:hAnsi="NanumMyeongjo"/>
      <w:b w:val="0"/>
      <w:color w:val="181B20"/>
      <w:sz w:val="18"/>
    </w:rPr>
  </w:style>
  <w:style w:type="paragraph" w:customStyle="1" w:styleId="ArticleAbstract">
    <w:name w:val="ArticleAbstract"/>
    <w:pPr>
      <w:keepNext w:val="0"/>
      <w:widowControl/>
      <w:spacing w:before="0" w:after="40" w:line="372" w:lineRule="auto"/>
      <w:ind w:firstLine="0"/>
    </w:pPr>
    <w:rPr>
      <w:rFonts w:ascii="NanumMyeongjo" w:hAnsi="NanumMyeongjo"/>
      <w:b w:val="0"/>
      <w:color w:val="181B20"/>
      <w:sz w:val="19"/>
    </w:rPr>
  </w:style>
  <w:style w:type="paragraph" w:customStyle="1" w:styleId="ArticleGuide">
    <w:name w:val="ArticleGuide"/>
    <w:pPr>
      <w:keepNext w:val="0"/>
      <w:widowControl/>
      <w:spacing w:before="120" w:after="140" w:line="348" w:lineRule="auto"/>
      <w:ind w:firstLine="0"/>
    </w:pPr>
    <w:rPr>
      <w:rFonts w:ascii="NanumGothic" w:hAnsi="NanumGothic"/>
      <w:b w:val="0"/>
      <w:color w:val="4A4E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jpg"/><Relationship Id="rId18"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OY-RALS 연구·기술검토 보고서 (개정판)</dc:title>
  <dc:subject>현장 검토용 비표준화 TEST 도구의 연구 및 기술검토</dc:subject>
  <dc:creator>오산세교종합사회복지관 김지훈</dc:creator>
  <cp:keywords>OY-RALS; 청소년 위기징후; 학생맞춤통합지원; 지역자원연계</cp:keywords>
  <dc:description/>
  <cp:lastModifiedBy/>
  <cp:revision>1</cp:revision>
  <dcterms:created xsi:type="dcterms:W3CDTF">2026-10-26T12:00:00Z</dcterms:created>
  <dcterms:modified xsi:type="dcterms:W3CDTF">2026-10-26T12:00:00Z</dcterms:modified>
  <cp:category/>
</cp:coreProperties>
</file>