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ticleTitle"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>오산 청소년 위기징후 평가연계 시스템</w:t>
      </w:r>
    </w:p>
    <w:p>
      <w:pPr>
        <w:pStyle w:val="ArticleSubtitle"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>모델 구조·지역자원 연결·AI 기반 가상검수와 실증 타당화 · 2026.10.29 개정판</w:t>
      </w:r>
    </w:p>
    <w:p>
      <w:pPr>
        <w:pStyle w:val="ArticleNote"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>본 자료의 표·화살표·설명은 Word에서 직접 편집할 수 있는 요소로 구성하였습니다.</w:t>
      </w:r>
    </w:p>
    <w:p>
      <w:pPr>
        <w:pStyle w:val="ArticleH1"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>1. 평가모델과 후속 지원모델의 관계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7"/>
        <w:gridCol w:w="4687"/>
        <w:gridCol w:w="4687"/>
      </w:tblGrid>
      <w:tr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단일 판정 원본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해석·추론 지원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실행·자원 지원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CORE / 25문항·100점</w:t>
              <w:br/>
              <w:t>미상·안전·지원 수준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ICSI / 문항·24교차</w:t>
              <w:br/>
              <w:t>OY-CIE / 맥락추론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RRA / 기관·서비스 후보</w:t>
              <w:br/>
              <w:t>현재 자격·접수 여부 확인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↓ 공식 결과만 생성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NCB / 서술-근거 대조</w:t>
              <w:br/>
              <w:t>K-CARR / 한국어 사례판독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↓ 담당·시점별 실제 이용상태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CORE 원응답 불변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→ ICMS / 종합사정·협의·서비스계획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→ 재사정·성과·사후관리</w:t>
            </w:r>
          </w:p>
        </w:tc>
      </w:tr>
    </w:tbl>
    <w:p>
      <w:pPr>
        <w:pStyle w:val="ArticleNote"/>
        <w:spacing w:before="320"/>
      </w:pPr>
      <w:r>
        <w:rPr>
          <w:rFonts w:ascii="NanumMyeongjo" w:hAnsi="NanumMyeongjo" w:eastAsia="NanumMyeongjo" w:cs="NanumMyeongjo"/>
          <w:b w:val="0"/>
          <w:i w:val="0"/>
          <w:color w:val="4A4E55"/>
          <w:sz w:val="20"/>
          <w:lang w:val="ko-KR" w:eastAsia="ko-KR"/>
          <w:lang w:val="ko-KR" w:eastAsia="ko-KR"/>
        </w:rPr>
        <w:t>모든 해석·자원추천은 공식 원점수와 신고·보호 절차를 변경하지 않습니다. 학생 서술과 기존 기관의 실제 제공상태는 별도 사실확인이 필요합니다.</w:t>
      </w:r>
    </w:p>
    <w:p>
      <w:pPr>
        <w:pStyle w:val="ArticleSmall"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 xml:space="preserve">구조 해석: CORE가 원점수·미상·안전상태를 산정한다. 개편 후 해석지는 문항별 앵커와 23개 교차 패턴으로 심층 해석을 만들고, 서술기록 분석은 선택 서술을 척도와 대조한다. 계획은 실무자 검토 전 초안이며 자원 후보의 실제 개시는 기관 확인기록으로만 판단한다.</w:t>
      </w:r>
    </w:p>
    <w:p>
      <w:r>
        <w:br w:type="page"/>
      </w:r>
    </w:p>
    <w:p>
      <w:pPr>
        <w:pStyle w:val="ArticleH1"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>2. 지역자원 연계의 닫힌 고리(closed loop)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7"/>
        <w:gridCol w:w="4687"/>
        <w:gridCol w:w="4687"/>
      </w:tblGrid>
      <w:tr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평가·사정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적합성·접수 검토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의뢰·사후 확인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Q번호·점수·영역</w:t>
              <w:br/>
              <w:t>학생 희망·강점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욕구와 서비스 범위 대조</w:t>
              <w:br/>
              <w:t>기관·서비스 ID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연계 후보에 대한 문의 기록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안전 여부와 서술 근거</w:t>
              <w:br/>
              <w:t>정보원·미상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연령·관할·대상·비용</w:t>
              <w:br/>
              <w:t>모집회차·대기·종료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적법한 의뢰·실제 접수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학생 우선 필요 확정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담당부서·확인일·공식 출처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실제 제공 개시·생활 변화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↑ 재사정 결과 반영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← 부적합·대기시 대체서비스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→ 점검·종결·사후관리</w:t>
            </w:r>
          </w:p>
        </w:tc>
      </w:tr>
    </w:tbl>
    <w:p>
      <w:pPr>
        <w:pStyle w:val="ArticleNote"/>
        <w:spacing w:before="320"/>
      </w:pPr>
      <w:r>
        <w:rPr>
          <w:rFonts w:ascii="NanumMyeongjo" w:hAnsi="NanumMyeongjo" w:eastAsia="NanumMyeongjo" w:cs="NanumMyeongjo"/>
          <w:b w:val="0"/>
          <w:i w:val="0"/>
          <w:color w:val="4A4E55"/>
          <w:sz w:val="20"/>
          <w:lang w:val="ko-KR" w:eastAsia="ko-KR"/>
          <w:lang w:val="ko-KR" w:eastAsia="ko-KR"/>
        </w:rPr>
        <w:t>기관의 존재와 현재 모집 가능 여부는 다릅니다. 추천 → 문의 → 의뢰 → 접수 → 실제 제공 → 생활변화는 각각 다른 사건이며 같은 데이터 값으로 처리하면 안 됩니다.</w:t>
      </w:r>
    </w:p>
    <w:p>
      <w:r>
        <w:br w:type="page"/>
      </w:r>
    </w:p>
    <w:p>
      <w:pPr>
        <w:pStyle w:val="ArticleH1"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>3. AI 기반 가상검수와 실제 타당화 연구의 구분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30"/>
        <w:gridCol w:w="7030"/>
      </w:tblGrid>
      <w:tr>
        <w:tc>
          <w:tcPr>
            <w:tcW w:type="dxa" w:w="7030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기술·가상검수(기존 수행기록)</w:t>
            </w:r>
          </w:p>
        </w:tc>
        <w:tc>
          <w:tcPr>
            <w:tcW w:type="dxa" w:w="7030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독립적 타당화(향후 제안)</w:t>
            </w:r>
          </w:p>
        </w:tc>
      </w:tr>
      <w:tr>
        <w:tc>
          <w:tcPr>
            <w:tcW w:type="dxa" w:w="7030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합성 입력·가상사례 구성</w:t>
              <w:br/>
              <w:t>공개사례의 개발용 코딩</w:t>
            </w:r>
          </w:p>
        </w:tc>
        <w:tc>
          <w:tcPr>
            <w:tcW w:type="dxa" w:w="7030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내용타당도 전문가 검토·학생 인지면접</w:t>
            </w:r>
          </w:p>
        </w:tc>
      </w:tr>
      <w:tr>
        <w:tc>
          <w:tcPr>
            <w:tcW w:type="dxa" w:w="7030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CORE 예상값과 모델 출력 대조</w:t>
              <w:br/>
              <w:t>안전·미상·점수 불변조건 점검</w:t>
            </w:r>
          </w:p>
        </w:tc>
        <w:tc>
          <w:tcPr>
            <w:tcW w:type="dxa" w:w="7030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독립 평가자 블라인드 준거</w:t>
              <w:br/>
              <w:t>다기관 채점자 간 일치도</w:t>
            </w:r>
          </w:p>
        </w:tc>
      </w:tr>
      <w:tr>
        <w:tc>
          <w:tcPr>
            <w:tcW w:type="dxa" w:w="7030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오류 원인 분류·로직 조정</w:t>
              <w:br/>
              <w:t>동일·신규 시드 회귀검사</w:t>
            </w:r>
          </w:p>
        </w:tc>
        <w:tc>
          <w:tcPr>
            <w:tcW w:type="dxa" w:w="7030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실제 학생 사례 및 서비스 결과의 전향적 추적</w:t>
            </w:r>
          </w:p>
        </w:tc>
      </w:tr>
      <w:tr>
        <w:tc>
          <w:tcPr>
            <w:tcW w:type="dxa" w:w="7030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정당한 결론: 지정조건의 계산 재현성</w:t>
            </w:r>
          </w:p>
        </w:tc>
        <w:tc>
          <w:tcPr>
            <w:tcW w:type="dxa" w:w="7030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가능한 결론: 실제 적용 타당도·연계 효과·공정성</w:t>
            </w:r>
          </w:p>
        </w:tc>
      </w:tr>
    </w:tbl>
    <w:p>
      <w:pPr>
        <w:pStyle w:val="ArticleNote"/>
        <w:spacing w:before="320"/>
      </w:pPr>
      <w:r>
        <w:rPr>
          <w:rFonts w:ascii="NanumMyeongjo" w:hAnsi="NanumMyeongjo" w:eastAsia="NanumMyeongjo" w:cs="NanumMyeongjo"/>
          <w:b w:val="0"/>
          <w:i w:val="0"/>
          <w:color w:val="4A4E55"/>
          <w:sz w:val="20"/>
          <w:lang w:val="ko-KR" w:eastAsia="ko-KR"/>
          <w:lang w:val="ko-KR" w:eastAsia="ko-KR"/>
        </w:rPr>
        <w:t>기존 합성입력 50만 건의 지정 기술검사 결과는 학생 50만 명을 검증했다는 의미가 아닙니다. 규칙기반 AI 유사 검수에서의 내부 일치도를 실제 예측 민감도·특이도로 해석할 수 없습니다.</w:t>
      </w:r>
    </w:p>
    <w:p>
      <w:r>
        <w:br w:type="page"/>
      </w:r>
    </w:p>
    <w:p>
      <w:pPr>
        <w:pStyle w:val="ArticleH1"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>4. 개선·검증 체계 및 단계별 수용기준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7"/>
        <w:gridCol w:w="4687"/>
        <w:gridCol w:w="4687"/>
      </w:tblGrid>
      <w:tr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단계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시스템화 과제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검증 수준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P0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점수·미상·안전 분기 온·오프라인 동등성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공식 계산의 자동 회귀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P1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기관-서비스-회차-접수상태 DB 정비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공식 근거·확인시점 검증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P2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의뢰→접수→제공→재사정 추적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서비스 실제 이용 기록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P3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가상 반례·전문가 독립 준거 대비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오류 유형별 블라인드 평가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P4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외부 실제 사례 연구와 법·윤리 검토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타당도·효과·집단별 공정성</w:t>
            </w:r>
          </w:p>
        </w:tc>
      </w:tr>
    </w:tbl>
    <w:p>
      <w:pPr>
        <w:pStyle w:val="ArticleNote"/>
        <w:spacing w:before="320"/>
      </w:pPr>
      <w:r>
        <w:rPr>
          <w:rFonts w:ascii="NanumMyeongjo" w:hAnsi="NanumMyeongjo" w:eastAsia="NanumMyeongjo" w:cs="NanumMyeongjo"/>
          <w:b w:val="0"/>
          <w:i w:val="0"/>
          <w:color w:val="4A4E55"/>
          <w:sz w:val="20"/>
          <w:lang w:val="ko-KR" w:eastAsia="ko-KR"/>
          <w:lang w:val="ko-KR" w:eastAsia="ko-KR"/>
        </w:rPr>
        <w:t>실제 정보 공유와 외부 시스템 API 연계는 법적 근거·목적 제한·접근권한·감사기록 및 실무자 책임체계의 검토가 완료된 뒤에만 추진할 수 있습니다.</w:t>
      </w:r>
    </w:p>
    <w:p>
      <w:pPr>
        <w:pStyle w:val="ArticleH1"/>
        <w:pageBreakBefore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>5. 화면 단계와 모듈의 대응(2026.10.29)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7"/>
        <w:gridCol w:w="4687"/>
        <w:gridCol w:w="4687"/>
      </w:tblGrid>
      <w:tr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 xml:space="preserve">화면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 xml:space="preserve">사용 모듈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 xml:space="preserve">주의할 점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01 선별평가·결과해석 / 척도 해석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CORE, SUPPORT-5, 문항 지식, 교차 패턴, 심층 해석, 보조지표 도식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공식 판정은 CORE. 5단계는 보조지표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서술기록 분석 · 통합 사정의견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서술기록 분석, 통합 사정(게이트웨이)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서술은 점수를 바꾸지 않음. 내보내기는 “서술 포함” 선택 시에만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 xml:space="preserve">02 지역자원 연계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자원 모델·자원 카드 세부(support-detail)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사업 존재 ≠ 지금 신청 가능. 확인 배지 확인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03 학교 지원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관점별 실무자료(oy-perspective-v1): 담임교사 T-1~3, 교육복지사 E-1~3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학맞통법 절차 순. 저장 안 함, 출력 시 빈칸은 손글씨 줄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04 기관 사례관리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사례사정·계획·관계도 + 기관별 실무자료(A-0~4, C-0~4, G-1)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계획은 협의 전 초안. A-0 첫 행은 통합사례관리 선정 준거(2개 이상 기관)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05 최종 보고서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oy-final-report-v1(판정은 OYDecision)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재계산 없음. 서술 빼도 판정 같음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공통 · AI에 묻기 / 자료 보관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「AI에 묻기」 패널·외부 AI 요청문, 하단 보관 띠(ZIP·응답 JSON)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자동 전송·영구 저장 없음. ZIP의 서술은 선택 시에만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 xml:space="preserve">공통 · 근거 원장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oy-evidence-v1.js(E01~E47·V1~V3, 영역 10·규칙 9·개입 수준 5·확인 질문 2) → 심층 해석 「왜 이렇게 돕나요」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설명 문장만 더함. 점수·판정·개입 수준 불변(1,200사례 회귀)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 xml:space="preserve">참고문헌·근거 페이지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references.html + references-v2.js(근거 원장·학년 S·교차 L·기존 [1]~[18] 한 곳)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꼬리글·06 자료실·다운로드 메뉴에서 연결</w:t>
            </w:r>
          </w:p>
        </w:tc>
      </w:tr>
    </w:tbl>
    <w:p>
      <w:pPr>
        <w:pStyle w:val="ArticleNote"/>
        <w:spacing w:before="320"/>
      </w:pPr>
      <w:r>
        <w:rPr>
          <w:rFonts w:ascii="NanumMyeongjo" w:hAnsi="NanumMyeongjo" w:eastAsia="NanumMyeongjo" w:cs="NanumMyeongjo"/>
          <w:b w:val="0"/>
          <w:i w:val="0"/>
          <w:color w:val="4A4E55"/>
          <w:sz w:val="20"/>
          <w:lang w:val="ko-KR" w:eastAsia="ko-KR"/>
          <w:lang w:val="ko-KR" w:eastAsia="ko-KR"/>
        </w:rPr>
        <w:t>화면 단계 명칭은 2026년 10월 29일 운영 사이트 기준이다(다섯 단계 · 역할 선택 · 핵심 결과 한 장). AI 사례자문 작업실과 사례기록·모니터링 단계는 메뉴에서 내렸고, 코드는 연구·호환용으로 남아 있으나 화면에서 열리지 않는다. 내부 코드의 단계 번호와 화면 번호는 일치하지 않는다(03=stage 6, 04=stage 3, 05=stage 7).</w:t>
      </w:r>
    </w:p>
    <w:p>
      <w:pPr>
        <w:pStyle w:val="ArticleH1"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 xml:space="preserve">6. 함께 표시되는 세 가지 수준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7"/>
        <w:gridCol w:w="4687"/>
        <w:gridCol w:w="4687"/>
      </w:tblGrid>
      <w:tr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 xml:space="preserve">표시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 xml:space="preserve">산출 규칙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 xml:space="preserve">지위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 xml:space="preserve">CORE 지원검토 단계 (0~3, 보류)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지원집중 영역 수와 3~4점 문항 수, 미상 시 보류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공식 판정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 xml:space="preserve">SUPPORT-5 통합지원 단계 (1~5)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점수 구간·응답 패턴 하한·안전 하한 중 최댓값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개발형 보조지표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 xml:space="preserve">개입 수준 (5수준)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CORE 단계와 안전 신호(서술 안전 단서 포함)로 제안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사례관리 강도 초안, 기관 기준 확인 필요</w:t>
            </w:r>
          </w:p>
        </w:tc>
      </w:tr>
    </w:tbl>
    <w:p>
      <w:pPr>
        <w:pStyle w:val="ArticleNote"/>
        <w:spacing w:before="320"/>
      </w:pPr>
      <w:r>
        <w:rPr>
          <w:rFonts w:ascii="NanumMyeongjo" w:hAnsi="NanumMyeongjo" w:eastAsia="NanumMyeongjo" w:cs="NanumMyeongjo"/>
          <w:b w:val="0"/>
          <w:i w:val="0"/>
          <w:color w:val="4A4E55"/>
          <w:sz w:val="20"/>
          <w:lang w:val="ko-KR" w:eastAsia="ko-KR"/>
          <w:lang w:val="ko-KR" w:eastAsia="ko-KR"/>
        </w:rPr>
        <w:t xml:space="preserve">안전문항 양성과 긴급 신호는 세 표시보다 항상 앞선다. 6·9·19번 각 3점 가상 응답은 CORE 3단계, SUPPORT-5 제4단계, 개입 수준 집중 사례관리(다기관)로 표시된다(코드 재실행, 2026.10.26).</w:t>
      </w:r>
    </w:p>
    <w:p>
      <w:pPr>
        <w:pStyle w:val="ArticleH1"/>
      </w:pPr>
      <w:r>
        <w:t>7. 근거 원장의 위치(2026.10.29)</w:t>
      </w:r>
    </w:p>
    <w:p>
      <w:pPr>
        <w:pStyle w:val="ArticleNote"/>
      </w:pPr>
      <w:r>
        <w:t>근거 원장은 공식 점수 원본(criteria.js)과 분리된 설명 계층이다. 심층 해석 모듈이 있으면 읽고, 없으면 해석지는 근거 칸 없이 그대로 나온다. 새 근거는 oy-evidence-v1.js에 E번호로 더하면 해석지와 참고문헌 페이지에 함께 반영된다.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1276" w:right="1304" w:bottom="1191" w:left="1304" w:header="624" w:footer="65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 w:cs="NanumGothic"/>
        <w:color w:val="4A4E55"/>
        <w:sz w:val="15"/>
        <w:lang w:val="ko-KR" w:eastAsia="ko-KR"/>
      </w:rPr>
      <w:t xml:space="preserve">오산 청소년 위기징후 평가연계 시스템  ·  비표준화 TEST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 w:cs="NanumGothic"/>
        <w:color w:val="4A4E55"/>
        <w:sz w:val="14"/>
        <w:lang w:val="ko-KR" w:eastAsia="ko-KR"/>
      </w:rPr>
      <w:t>OY-RALS  |  RESEARCH &amp; PRACTICE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9" w:lineRule="auto" w:after="0"/>
      <w:ind w:firstLine="198"/>
    </w:pPr>
    <w:rPr>
      <w:rFonts w:ascii="NanumMyeongjo" w:hAnsi="NanumMyeongjo"/>
      <w:color w:val="181B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Title">
    <w:name w:val="ArticleTitle"/>
    <w:pPr>
      <w:keepNext/>
      <w:widowControl/>
      <w:spacing w:before="200" w:after="280" w:line="324" w:lineRule="auto"/>
      <w:ind w:firstLine="0"/>
      <w:jc w:val="center"/>
    </w:pPr>
    <w:rPr>
      <w:rFonts w:ascii="NanumMyeongjo" w:hAnsi="NanumMyeongjo"/>
      <w:b/>
      <w:color w:val="181B20"/>
      <w:sz w:val="36"/>
    </w:rPr>
  </w:style>
  <w:style w:type="paragraph" w:customStyle="1" w:styleId="ArticleSubtitle">
    <w:name w:val="ArticleSubtitle"/>
    <w:pPr>
      <w:keepNext/>
      <w:widowControl/>
      <w:spacing w:before="100" w:after="240" w:line="348" w:lineRule="auto"/>
      <w:ind w:firstLine="0"/>
      <w:jc w:val="center"/>
    </w:pPr>
    <w:rPr>
      <w:rFonts w:ascii="NanumGothic" w:hAnsi="NanumGothic"/>
      <w:b w:val="0"/>
      <w:color w:val="4A4E55"/>
      <w:sz w:val="22"/>
    </w:rPr>
  </w:style>
  <w:style w:type="paragraph" w:customStyle="1" w:styleId="ArticleMeta">
    <w:name w:val="ArticleMeta"/>
    <w:pPr>
      <w:keepNext w:val="0"/>
      <w:widowControl/>
      <w:spacing w:before="80" w:after="120" w:line="324" w:lineRule="auto"/>
      <w:ind w:firstLine="0"/>
      <w:jc w:val="center"/>
    </w:pPr>
    <w:rPr>
      <w:rFonts w:ascii="NanumGothic" w:hAnsi="NanumGothic"/>
      <w:b w:val="0"/>
      <w:color w:val="4A4E55"/>
      <w:sz w:val="18"/>
    </w:rPr>
  </w:style>
  <w:style w:type="paragraph" w:customStyle="1" w:styleId="ArticleH1">
    <w:name w:val="ArticleH1"/>
    <w:pPr>
      <w:keepNext/>
      <w:widowControl/>
      <w:spacing w:before="360" w:after="180" w:line="336" w:lineRule="auto"/>
      <w:ind w:firstLine="0"/>
    </w:pPr>
    <w:rPr>
      <w:rFonts w:ascii="NanumMyeongjo" w:hAnsi="NanumMyeongjo"/>
      <w:b/>
      <w:color w:val="181B20"/>
      <w:sz w:val="27"/>
    </w:rPr>
  </w:style>
  <w:style w:type="paragraph" w:customStyle="1" w:styleId="ArticleH2">
    <w:name w:val="ArticleH2"/>
    <w:pPr>
      <w:keepNext/>
      <w:widowControl/>
      <w:spacing w:before="260" w:after="120" w:line="348" w:lineRule="auto"/>
      <w:ind w:firstLine="0"/>
    </w:pPr>
    <w:rPr>
      <w:rFonts w:ascii="NanumGothic" w:hAnsi="NanumGothic"/>
      <w:b/>
      <w:color w:val="181B20"/>
      <w:sz w:val="22"/>
    </w:rPr>
  </w:style>
  <w:style w:type="paragraph" w:customStyle="1" w:styleId="ArticleH3">
    <w:name w:val="ArticleH3"/>
    <w:pPr>
      <w:keepNext/>
      <w:widowControl/>
      <w:spacing w:before="180" w:after="80" w:line="336" w:lineRule="auto"/>
      <w:ind w:firstLine="0"/>
    </w:pPr>
    <w:rPr>
      <w:rFonts w:ascii="NanumGothic" w:hAnsi="NanumGothic"/>
      <w:b/>
      <w:color w:val="181B20"/>
      <w:sz w:val="20"/>
    </w:rPr>
  </w:style>
  <w:style w:type="paragraph" w:customStyle="1" w:styleId="ArticleBody">
    <w:name w:val="ArticleBody"/>
    <w:pPr>
      <w:keepNext w:val="0"/>
      <w:widowControl/>
      <w:spacing w:before="0" w:after="0" w:line="379" w:lineRule="auto"/>
      <w:ind w:firstLine="198"/>
    </w:pPr>
    <w:rPr>
      <w:rFonts w:ascii="NanumMyeongjo" w:hAnsi="NanumMyeongjo"/>
      <w:b w:val="0"/>
      <w:color w:val="181B20"/>
      <w:sz w:val="20"/>
    </w:rPr>
  </w:style>
  <w:style w:type="paragraph" w:customStyle="1" w:styleId="ArticleSmall">
    <w:name w:val="ArticleSmall"/>
    <w:pPr>
      <w:keepNext w:val="0"/>
      <w:widowControl/>
      <w:spacing w:before="0" w:after="60" w:line="350" w:lineRule="auto"/>
      <w:ind w:firstLine="198"/>
    </w:pPr>
    <w:rPr>
      <w:rFonts w:ascii="NanumMyeongjo" w:hAnsi="NanumMyeongjo"/>
      <w:b w:val="0"/>
      <w:color w:val="181B20"/>
      <w:sz w:val="19"/>
    </w:rPr>
  </w:style>
  <w:style w:type="paragraph" w:customStyle="1" w:styleId="ArticleNote">
    <w:name w:val="ArticleNote"/>
    <w:pPr>
      <w:keepNext w:val="0"/>
      <w:widowControl/>
      <w:spacing w:before="80" w:after="160" w:line="336" w:lineRule="auto"/>
      <w:ind w:firstLine="0"/>
    </w:pPr>
    <w:rPr>
      <w:rFonts w:ascii="NanumMyeongjo" w:hAnsi="NanumMyeongjo"/>
      <w:b w:val="0"/>
      <w:color w:val="4A4E55"/>
      <w:sz w:val="18"/>
    </w:rPr>
  </w:style>
  <w:style w:type="paragraph" w:customStyle="1" w:styleId="ArticleCaption">
    <w:name w:val="ArticleCaption"/>
    <w:pPr>
      <w:keepNext w:val="0"/>
      <w:widowControl/>
      <w:spacing w:before="100" w:after="140" w:line="336" w:lineRule="auto"/>
      <w:ind w:firstLine="0"/>
    </w:pPr>
    <w:rPr>
      <w:rFonts w:ascii="NanumMyeongjo" w:hAnsi="NanumMyeongjo"/>
      <w:b w:val="0"/>
      <w:color w:val="4A4E55"/>
      <w:sz w:val="18"/>
    </w:rPr>
  </w:style>
  <w:style w:type="paragraph" w:customStyle="1" w:styleId="ArticleTableLabel">
    <w:name w:val="ArticleTableLabel"/>
    <w:pPr>
      <w:keepNext/>
      <w:widowControl/>
      <w:spacing w:before="160" w:after="80" w:line="336" w:lineRule="auto"/>
      <w:ind w:firstLine="0"/>
    </w:pPr>
    <w:rPr>
      <w:rFonts w:ascii="NanumGothic" w:hAnsi="NanumGothic"/>
      <w:b/>
      <w:color w:val="181B20"/>
      <w:sz w:val="18"/>
    </w:rPr>
  </w:style>
  <w:style w:type="paragraph" w:customStyle="1" w:styleId="ArticleTOC">
    <w:name w:val="ArticleTOC"/>
    <w:pPr>
      <w:keepNext w:val="0"/>
      <w:widowControl/>
      <w:spacing w:before="40" w:after="60" w:line="372" w:lineRule="auto"/>
      <w:ind w:firstLine="0"/>
    </w:pPr>
    <w:rPr>
      <w:rFonts w:ascii="NanumMyeongjo" w:hAnsi="NanumMyeongjo"/>
      <w:b w:val="0"/>
      <w:color w:val="181B20"/>
      <w:sz w:val="20"/>
    </w:rPr>
  </w:style>
  <w:style w:type="paragraph" w:customStyle="1" w:styleId="ArticleReference">
    <w:name w:val="ArticleReference"/>
    <w:pPr>
      <w:keepNext w:val="0"/>
      <w:widowControl/>
      <w:spacing w:before="0" w:after="80" w:line="343" w:lineRule="auto"/>
      <w:ind w:firstLine="0"/>
    </w:pPr>
    <w:rPr>
      <w:rFonts w:ascii="NanumMyeongjo" w:hAnsi="NanumMyeongjo"/>
      <w:b w:val="0"/>
      <w:color w:val="181B20"/>
      <w:sz w:val="18"/>
    </w:rPr>
  </w:style>
  <w:style w:type="paragraph" w:customStyle="1" w:styleId="ArticleAbstract">
    <w:name w:val="ArticleAbstract"/>
    <w:pPr>
      <w:keepNext w:val="0"/>
      <w:widowControl/>
      <w:spacing w:before="0" w:after="40" w:line="372" w:lineRule="auto"/>
      <w:ind w:firstLine="0"/>
    </w:pPr>
    <w:rPr>
      <w:rFonts w:ascii="NanumMyeongjo" w:hAnsi="NanumMyeongjo"/>
      <w:b w:val="0"/>
      <w:color w:val="181B20"/>
      <w:sz w:val="19"/>
    </w:rPr>
  </w:style>
  <w:style w:type="paragraph" w:customStyle="1" w:styleId="ArticleGuide">
    <w:name w:val="ArticleGuide"/>
    <w:pPr>
      <w:keepNext w:val="0"/>
      <w:widowControl/>
      <w:spacing w:before="120" w:after="140" w:line="348" w:lineRule="auto"/>
      <w:ind w:firstLine="0"/>
    </w:pPr>
    <w:rPr>
      <w:rFonts w:ascii="NanumGothic" w:hAnsi="NanumGothic"/>
      <w:b w:val="0"/>
      <w:color w:val="4A4E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OY-RALS 모델·자원·AI 구조도 (개정판)</dc:title>
  <dc:subject>현장 검토용 비표준화 TEST 도구의 연구 및 기술검토</dc:subject>
  <dc:creator>오산세교종합사회복지관 김지훈</dc:creator>
  <cp:keywords/>
  <dc:description/>
  <cp:lastModifiedBy/>
  <cp:revision>1</cp:revision>
  <dcterms:created xsi:type="dcterms:W3CDTF">2026-10-26T12:00:00Z</dcterms:created>
  <dcterms:modified xsi:type="dcterms:W3CDTF">2026-10-26T12:00:00Z</dcterms:modified>
  <cp:category/>
</cp:coreProperties>
</file>