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大学生科研立项结题报告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KY2024-0417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基于本地加密的学业材料管理系统</w:t>
            </w:r>
          </w:p>
        </w:tc>
      </w:tr>
      <w:tr>
        <w:tc>
          <w:tcPr>
            <w:tcW w:type="dxa" w:w="4320"/>
          </w:tcPr>
          <w:p>
            <w:r>
              <w:t>项目负责人</w:t>
            </w:r>
          </w:p>
        </w:tc>
        <w:tc>
          <w:tcPr>
            <w:tcW w:type="dxa" w:w="4320"/>
          </w:tcPr>
          <w:p>
            <w:r>
              <w:t>王小明</w:t>
            </w:r>
          </w:p>
        </w:tc>
      </w:tr>
      <w:tr>
        <w:tc>
          <w:tcPr>
            <w:tcW w:type="dxa" w:w="4320"/>
          </w:tcPr>
          <w:p>
            <w:r>
              <w:t>起止时间</w:t>
            </w:r>
          </w:p>
        </w:tc>
        <w:tc>
          <w:tcPr>
            <w:tcW w:type="dxa" w:w="4320"/>
          </w:tcPr>
          <w:p>
            <w:r>
              <w:t>2024.04 - 2025.03</w:t>
            </w:r>
          </w:p>
        </w:tc>
      </w:tr>
    </w:tbl>
    <w:p/>
    <w:p>
      <w:r>
        <w:t>一、研究内容</w:t>
      </w:r>
    </w:p>
    <w:p>
      <w:r>
        <w:t>针对学业材料分散存储、敏感材料不便上云的现实问题，设计一套完全本地化、无需账号的档案管理方案，重点解决自动归类、全库检索、敏感材料加密存储与日程提醒四个环节。</w:t>
      </w:r>
    </w:p>
    <w:p>
      <w:r>
        <w:t>二、技术路线</w:t>
      </w:r>
    </w:p>
    <w:p>
      <w:r>
        <w:t>采用分层单体架构，表现层负责交互，业务层对外仅暴露接口，数据访问层以注解映射 SQLite；私密材料使用 PBKDF2-HMAC-SHA256 派生密钥，配合 AES-256-GCM 完成加密与完整性校验。</w:t>
      </w:r>
    </w:p>
    <w:p>
      <w:r>
        <w:t>三、结论</w:t>
      </w:r>
    </w:p>
    <w:p>
      <w:r>
        <w:t>系统已完成原型验证，5 万条元数据规模下关键词检索 P50 为 144.3 ms，私密材料端到端处理耗时 26 ms，达到预期指标。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