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90" w:rsidRPr="00BE6EF3" w:rsidRDefault="00A64690" w:rsidP="00A64690">
      <w:pPr>
        <w:pStyle w:val="berschrift1"/>
        <w:rPr>
          <w:rStyle w:val="Fett"/>
        </w:rPr>
      </w:pPr>
      <w:bookmarkStart w:id="0" w:name="_Toc263291488"/>
      <w:r w:rsidRPr="00746E4F">
        <w:t>绪论</w:t>
      </w:r>
    </w:p>
    <w:p w:rsidR="00A64690" w:rsidRPr="00746E4F" w:rsidRDefault="00A64690" w:rsidP="00A64690">
      <w:pPr>
        <w:pStyle w:val="berschrift2"/>
      </w:pPr>
      <w:r w:rsidRPr="00746E4F">
        <w:t>研究动因</w:t>
      </w:r>
    </w:p>
    <w:bookmarkEnd w:id="0"/>
    <w:p w:rsidR="00A64690" w:rsidRPr="008F0C3B" w:rsidRDefault="00A64690" w:rsidP="00A64690"/>
    <w:p w:rsidR="00A64690" w:rsidRPr="00BE6EF3" w:rsidRDefault="00A64690" w:rsidP="00A64690">
      <w:pPr>
        <w:pStyle w:val="berschrift2"/>
      </w:pPr>
      <w:r w:rsidRPr="009443DB">
        <w:t>研究对象</w:t>
      </w:r>
    </w:p>
    <w:p w:rsidR="00A64690" w:rsidRPr="00746E4F" w:rsidRDefault="00A64690" w:rsidP="00A64690">
      <w:pPr>
        <w:pStyle w:val="berschrift3"/>
      </w:pPr>
      <w:r w:rsidRPr="00746E4F">
        <w:t>原材料</w:t>
      </w:r>
    </w:p>
    <w:p w:rsidR="00A64690" w:rsidRPr="00BE6EF3" w:rsidRDefault="00A64690" w:rsidP="00A64690">
      <w:pPr>
        <w:pStyle w:val="berschrift3"/>
      </w:pPr>
      <w:r>
        <w:t>原材料经济</w:t>
      </w:r>
    </w:p>
    <w:p w:rsidR="00A64690" w:rsidRPr="008F0C3B" w:rsidRDefault="00A64690" w:rsidP="00A64690">
      <w:pPr>
        <w:pStyle w:val="berschrift3"/>
      </w:pPr>
      <w:r w:rsidRPr="009443DB">
        <w:t>原材料政策</w:t>
      </w:r>
    </w:p>
    <w:p w:rsidR="00A64690" w:rsidRPr="008F0C3B" w:rsidRDefault="00A64690" w:rsidP="00A64690">
      <w:pPr>
        <w:pStyle w:val="berschrift2"/>
      </w:pPr>
      <w:r w:rsidRPr="009443DB">
        <w:t>研究方法</w:t>
      </w:r>
    </w:p>
    <w:p w:rsidR="00A64690" w:rsidRPr="008F0C3B" w:rsidRDefault="00A64690" w:rsidP="00A64690"/>
    <w:p w:rsidR="00A64690" w:rsidRPr="00C9723D" w:rsidRDefault="00A64690" w:rsidP="00A64690">
      <w:pPr>
        <w:pStyle w:val="berschrift1"/>
        <w:rPr>
          <w:rStyle w:val="Fett"/>
        </w:rPr>
      </w:pPr>
      <w:r>
        <w:rPr>
          <w:rStyle w:val="Fett"/>
        </w:rPr>
        <w:t>中国原材料经济概况</w:t>
      </w:r>
    </w:p>
    <w:p w:rsidR="00A64690" w:rsidRPr="001E04D6" w:rsidRDefault="00A64690" w:rsidP="00A64690">
      <w:pPr>
        <w:pStyle w:val="berschrift2"/>
        <w:numPr>
          <w:ilvl w:val="0"/>
          <w:numId w:val="6"/>
        </w:numPr>
        <w:rPr>
          <w:rStyle w:val="Hervorhebung"/>
          <w:b/>
          <w:bCs w:val="0"/>
          <w:lang w:eastAsia="zh-CN"/>
        </w:rPr>
      </w:pPr>
      <w:r w:rsidRPr="001E04D6">
        <w:rPr>
          <w:rStyle w:val="Hervorhebung"/>
          <w:lang w:eastAsia="zh-CN"/>
        </w:rPr>
        <w:t>中国原材料经济的历史发展与现状</w:t>
      </w:r>
    </w:p>
    <w:p w:rsidR="00A64690" w:rsidRPr="009443DB" w:rsidRDefault="00A64690" w:rsidP="00A64690">
      <w:pPr>
        <w:pStyle w:val="berschrift3"/>
        <w:numPr>
          <w:ilvl w:val="0"/>
          <w:numId w:val="3"/>
        </w:numPr>
      </w:pPr>
      <w:r w:rsidRPr="009443DB">
        <w:t>中国原材料的储备与分布</w:t>
      </w:r>
    </w:p>
    <w:p w:rsidR="00A64690" w:rsidRDefault="00A64690" w:rsidP="00A64690">
      <w:r>
        <w:rPr>
          <w:rFonts w:hint="eastAsia"/>
        </w:rPr>
        <w:t>截至</w:t>
      </w:r>
      <w:r>
        <w:t>2012</w:t>
      </w:r>
      <w:r>
        <w:rPr>
          <w:rFonts w:hint="eastAsia"/>
        </w:rPr>
        <w:t>年底，石油剩余技术可采储量</w:t>
      </w:r>
      <w:r>
        <w:t>33.3</w:t>
      </w:r>
      <w:r>
        <w:rPr>
          <w:rFonts w:hint="eastAsia"/>
        </w:rPr>
        <w:t>亿吨，天然气</w:t>
      </w:r>
      <w:r>
        <w:t>4.4</w:t>
      </w:r>
      <w:r>
        <w:rPr>
          <w:rFonts w:hint="eastAsia"/>
        </w:rPr>
        <w:t>万亿立方米，煤炭查明资源储量</w:t>
      </w:r>
      <w:r>
        <w:t>1.4</w:t>
      </w:r>
      <w:r>
        <w:rPr>
          <w:rFonts w:hint="eastAsia"/>
        </w:rPr>
        <w:t>万亿吨，铁矿</w:t>
      </w:r>
      <w:r>
        <w:t>775</w:t>
      </w:r>
      <w:r>
        <w:rPr>
          <w:rFonts w:hint="eastAsia"/>
        </w:rPr>
        <w:t>亿吨，铜矿</w:t>
      </w:r>
      <w:r>
        <w:t>9037</w:t>
      </w:r>
      <w:r>
        <w:rPr>
          <w:rFonts w:hint="eastAsia"/>
        </w:rPr>
        <w:t>万吨，铝土矿</w:t>
      </w:r>
      <w:r>
        <w:t>38</w:t>
      </w:r>
      <w:r>
        <w:rPr>
          <w:rFonts w:hint="eastAsia"/>
        </w:rPr>
        <w:t>亿吨，金矿</w:t>
      </w:r>
      <w:r>
        <w:t>8196</w:t>
      </w:r>
      <w:r>
        <w:rPr>
          <w:rFonts w:hint="eastAsia"/>
        </w:rPr>
        <w:t>吨。</w:t>
      </w:r>
      <w:r>
        <w:rPr>
          <w:rStyle w:val="Funotenzeichen"/>
        </w:rPr>
        <w:footnoteReference w:id="1"/>
      </w:r>
    </w:p>
    <w:p w:rsidR="00A64690" w:rsidRDefault="00A64690" w:rsidP="00A64690">
      <w:pPr>
        <w:pStyle w:val="berschrift4"/>
      </w:pPr>
      <w:r>
        <w:t xml:space="preserve"> </w:t>
      </w:r>
      <w:r w:rsidRPr="009443DB">
        <w:t>东部地区</w:t>
      </w:r>
      <w:r>
        <w:t>.</w:t>
      </w:r>
    </w:p>
    <w:p w:rsidR="00A64690" w:rsidRDefault="00A64690" w:rsidP="00A64690">
      <w:pPr>
        <w:pStyle w:val="berschrift4"/>
      </w:pPr>
      <w:bookmarkStart w:id="1" w:name="OLE_LINK28"/>
      <w:bookmarkStart w:id="2" w:name="OLE_LINK29"/>
      <w:r w:rsidRPr="009443DB">
        <w:t>中部地区</w:t>
      </w:r>
    </w:p>
    <w:bookmarkEnd w:id="1"/>
    <w:bookmarkEnd w:id="2"/>
    <w:p w:rsidR="00A64690" w:rsidRDefault="00A64690" w:rsidP="00A64690">
      <w:pPr>
        <w:pStyle w:val="berschrift4"/>
      </w:pPr>
      <w:r w:rsidRPr="009443DB">
        <w:t>西部地区</w:t>
      </w:r>
    </w:p>
    <w:p w:rsidR="00A64690" w:rsidRDefault="00A64690" w:rsidP="00A64690"/>
    <w:p w:rsidR="001810E5" w:rsidRDefault="001810E5">
      <w:bookmarkStart w:id="3" w:name="_GoBack"/>
      <w:bookmarkEnd w:id="3"/>
    </w:p>
    <w:sectPr w:rsidR="001810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B81" w:rsidRDefault="00CB7B81" w:rsidP="00A64690">
      <w:pPr>
        <w:spacing w:after="0" w:line="240" w:lineRule="auto"/>
      </w:pPr>
      <w:r>
        <w:separator/>
      </w:r>
    </w:p>
  </w:endnote>
  <w:endnote w:type="continuationSeparator" w:id="0">
    <w:p w:rsidR="00CB7B81" w:rsidRDefault="00CB7B81" w:rsidP="00A6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B81" w:rsidRDefault="00CB7B81" w:rsidP="00A64690">
      <w:pPr>
        <w:spacing w:after="0" w:line="240" w:lineRule="auto"/>
      </w:pPr>
      <w:r>
        <w:separator/>
      </w:r>
    </w:p>
  </w:footnote>
  <w:footnote w:type="continuationSeparator" w:id="0">
    <w:p w:rsidR="00CB7B81" w:rsidRDefault="00CB7B81" w:rsidP="00A64690">
      <w:pPr>
        <w:spacing w:after="0" w:line="240" w:lineRule="auto"/>
      </w:pPr>
      <w:r>
        <w:continuationSeparator/>
      </w:r>
    </w:p>
  </w:footnote>
  <w:footnote w:id="1">
    <w:p w:rsidR="00A64690" w:rsidRDefault="00A64690" w:rsidP="00A64690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hint="eastAsia"/>
        </w:rPr>
        <w:t>中国矿产资源报告</w:t>
      </w:r>
      <w:r>
        <w:t xml:space="preserve">2013 </w:t>
      </w:r>
      <w:proofErr w:type="spellStart"/>
      <w:r>
        <w:t>Seite</w:t>
      </w:r>
      <w:proofErr w:type="spellEnd"/>
      <w:r>
        <w:t xml:space="preserve"> 9.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318"/>
    <w:multiLevelType w:val="hybridMultilevel"/>
    <w:tmpl w:val="072EBC2C"/>
    <w:lvl w:ilvl="0" w:tplc="88CA51F2">
      <w:start w:val="1"/>
      <w:numFmt w:val="chineseCountingThousand"/>
      <w:pStyle w:val="berschrift3"/>
      <w:lvlText w:val="%1. "/>
      <w:lvlJc w:val="left"/>
      <w:pPr>
        <w:ind w:left="163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93B62"/>
    <w:multiLevelType w:val="hybridMultilevel"/>
    <w:tmpl w:val="DE18DCB8"/>
    <w:lvl w:ilvl="0" w:tplc="6C3E0352">
      <w:start w:val="1"/>
      <w:numFmt w:val="chineseCountingThousand"/>
      <w:pStyle w:val="berschrift2"/>
      <w:lvlText w:val="第%1节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6740E"/>
    <w:multiLevelType w:val="hybridMultilevel"/>
    <w:tmpl w:val="AA54F1A2"/>
    <w:lvl w:ilvl="0" w:tplc="8A8802D4">
      <w:start w:val="1"/>
      <w:numFmt w:val="decimal"/>
      <w:pStyle w:val="berschrift4"/>
      <w:lvlText w:val="%1."/>
      <w:lvlJc w:val="left"/>
      <w:pPr>
        <w:ind w:left="2640" w:hanging="360"/>
      </w:pPr>
    </w:lvl>
    <w:lvl w:ilvl="1" w:tplc="04070019" w:tentative="1">
      <w:start w:val="1"/>
      <w:numFmt w:val="lowerLetter"/>
      <w:lvlText w:val="%2."/>
      <w:lvlJc w:val="left"/>
      <w:pPr>
        <w:ind w:left="3360" w:hanging="360"/>
      </w:pPr>
    </w:lvl>
    <w:lvl w:ilvl="2" w:tplc="0407001B" w:tentative="1">
      <w:start w:val="1"/>
      <w:numFmt w:val="lowerRoman"/>
      <w:lvlText w:val="%3."/>
      <w:lvlJc w:val="right"/>
      <w:pPr>
        <w:ind w:left="4080" w:hanging="180"/>
      </w:pPr>
    </w:lvl>
    <w:lvl w:ilvl="3" w:tplc="0407000F" w:tentative="1">
      <w:start w:val="1"/>
      <w:numFmt w:val="decimal"/>
      <w:lvlText w:val="%4."/>
      <w:lvlJc w:val="left"/>
      <w:pPr>
        <w:ind w:left="4800" w:hanging="360"/>
      </w:pPr>
    </w:lvl>
    <w:lvl w:ilvl="4" w:tplc="04070019" w:tentative="1">
      <w:start w:val="1"/>
      <w:numFmt w:val="lowerLetter"/>
      <w:lvlText w:val="%5."/>
      <w:lvlJc w:val="left"/>
      <w:pPr>
        <w:ind w:left="5520" w:hanging="360"/>
      </w:pPr>
    </w:lvl>
    <w:lvl w:ilvl="5" w:tplc="0407001B" w:tentative="1">
      <w:start w:val="1"/>
      <w:numFmt w:val="lowerRoman"/>
      <w:lvlText w:val="%6."/>
      <w:lvlJc w:val="right"/>
      <w:pPr>
        <w:ind w:left="6240" w:hanging="180"/>
      </w:pPr>
    </w:lvl>
    <w:lvl w:ilvl="6" w:tplc="0407000F" w:tentative="1">
      <w:start w:val="1"/>
      <w:numFmt w:val="decimal"/>
      <w:lvlText w:val="%7."/>
      <w:lvlJc w:val="left"/>
      <w:pPr>
        <w:ind w:left="6960" w:hanging="360"/>
      </w:pPr>
    </w:lvl>
    <w:lvl w:ilvl="7" w:tplc="04070019" w:tentative="1">
      <w:start w:val="1"/>
      <w:numFmt w:val="lowerLetter"/>
      <w:lvlText w:val="%8."/>
      <w:lvlJc w:val="left"/>
      <w:pPr>
        <w:ind w:left="7680" w:hanging="360"/>
      </w:pPr>
    </w:lvl>
    <w:lvl w:ilvl="8" w:tplc="0407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">
    <w:nsid w:val="0D5C28F3"/>
    <w:multiLevelType w:val="hybridMultilevel"/>
    <w:tmpl w:val="C238580A"/>
    <w:lvl w:ilvl="0" w:tplc="DD1C3500">
      <w:start w:val="1"/>
      <w:numFmt w:val="chineseCountingThousand"/>
      <w:pStyle w:val="berschrift1"/>
      <w:lvlText w:val="第%1章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90"/>
    <w:rsid w:val="001810E5"/>
    <w:rsid w:val="00A64690"/>
    <w:rsid w:val="00CB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8FC11-8A62-42DB-87DF-B1B34B34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4690"/>
    <w:pPr>
      <w:numPr>
        <w:ilvl w:val="1"/>
      </w:numPr>
      <w:spacing w:after="360" w:line="360" w:lineRule="auto"/>
      <w:ind w:left="1559" w:firstLine="425"/>
      <w:jc w:val="both"/>
    </w:pPr>
    <w:rPr>
      <w:rFonts w:asciiTheme="minorEastAsia" w:hAnsiTheme="minorEastAsia"/>
      <w:spacing w:val="15"/>
      <w:sz w:val="24"/>
      <w:szCs w:val="20"/>
      <w:lang w:val="en-GB" w:bidi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A64690"/>
    <w:pPr>
      <w:keepNext/>
      <w:keepLines/>
      <w:numPr>
        <w:ilvl w:val="0"/>
        <w:numId w:val="5"/>
      </w:numPr>
      <w:spacing w:before="240" w:after="0"/>
      <w:outlineLvl w:val="0"/>
    </w:pPr>
    <w:rPr>
      <w:rFonts w:asciiTheme="majorEastAsia" w:eastAsiaTheme="majorEastAsia" w:hAnsiTheme="majorEastAsia" w:cs="Times New Roman"/>
      <w:b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4690"/>
    <w:pPr>
      <w:keepNext/>
      <w:keepLines/>
      <w:numPr>
        <w:ilvl w:val="0"/>
        <w:numId w:val="4"/>
      </w:numPr>
      <w:spacing w:before="40" w:after="0"/>
      <w:outlineLvl w:val="1"/>
    </w:pPr>
    <w:rPr>
      <w:rFonts w:asciiTheme="majorEastAsia" w:eastAsiaTheme="majorEastAsia" w:hAnsiTheme="majorEastAsia" w:cs="Times New Roman"/>
      <w:b/>
      <w:sz w:val="32"/>
      <w:szCs w:val="26"/>
      <w:lang w:bidi="ar-SA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4690"/>
    <w:pPr>
      <w:keepNext/>
      <w:keepLines/>
      <w:numPr>
        <w:ilvl w:val="0"/>
        <w:numId w:val="1"/>
      </w:numPr>
      <w:spacing w:before="40" w:after="0"/>
      <w:outlineLvl w:val="2"/>
    </w:pPr>
    <w:rPr>
      <w:rFonts w:asciiTheme="majorEastAsia" w:eastAsiaTheme="majorEastAsia" w:hAnsiTheme="majorEastAsia" w:cs="Times New Roman"/>
      <w:b/>
      <w:sz w:val="28"/>
      <w:szCs w:val="24"/>
      <w:lang w:bidi="ar-SA"/>
    </w:rPr>
  </w:style>
  <w:style w:type="paragraph" w:styleId="berschrift4">
    <w:name w:val="heading 4"/>
    <w:basedOn w:val="Titel"/>
    <w:next w:val="Standard"/>
    <w:link w:val="berschrift4Zchn"/>
    <w:uiPriority w:val="9"/>
    <w:unhideWhenUsed/>
    <w:qFormat/>
    <w:rsid w:val="00A64690"/>
    <w:pPr>
      <w:numPr>
        <w:ilvl w:val="0"/>
        <w:numId w:val="2"/>
      </w:numPr>
      <w:outlineLvl w:val="3"/>
    </w:pPr>
    <w:rPr>
      <w:rFonts w:asciiTheme="majorEastAsia" w:hAnsiTheme="majorEastAsia" w:cs="Times New Roman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4690"/>
    <w:rPr>
      <w:rFonts w:asciiTheme="majorEastAsia" w:eastAsiaTheme="majorEastAsia" w:hAnsiTheme="majorEastAsia" w:cs="Times New Roman"/>
      <w:b/>
      <w:spacing w:val="15"/>
      <w:sz w:val="36"/>
      <w:szCs w:val="32"/>
      <w:lang w:val="en-GB"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4690"/>
    <w:rPr>
      <w:rFonts w:asciiTheme="majorEastAsia" w:eastAsiaTheme="majorEastAsia" w:hAnsiTheme="majorEastAsia" w:cs="Times New Roman"/>
      <w:b/>
      <w:spacing w:val="15"/>
      <w:sz w:val="32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4690"/>
    <w:rPr>
      <w:rFonts w:asciiTheme="majorEastAsia" w:eastAsiaTheme="majorEastAsia" w:hAnsiTheme="majorEastAsia" w:cs="Times New Roman"/>
      <w:b/>
      <w:spacing w:val="15"/>
      <w:sz w:val="28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64690"/>
    <w:rPr>
      <w:rFonts w:asciiTheme="majorEastAsia" w:eastAsiaTheme="majorEastAsia" w:hAnsiTheme="majorEastAsia" w:cs="Times New Roman"/>
      <w:b/>
      <w:spacing w:val="-10"/>
      <w:kern w:val="28"/>
      <w:sz w:val="24"/>
      <w:szCs w:val="24"/>
      <w:lang w:val="en-GB" w:bidi="en-US"/>
    </w:rPr>
  </w:style>
  <w:style w:type="paragraph" w:styleId="Funotentext">
    <w:name w:val="footnote text"/>
    <w:basedOn w:val="Standard"/>
    <w:link w:val="FunotentextZchn"/>
    <w:autoRedefine/>
    <w:unhideWhenUsed/>
    <w:qFormat/>
    <w:rsid w:val="00A64690"/>
    <w:pPr>
      <w:spacing w:after="0"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A64690"/>
    <w:rPr>
      <w:rFonts w:asciiTheme="minorEastAsia" w:hAnsiTheme="minorEastAsia"/>
      <w:spacing w:val="15"/>
      <w:sz w:val="16"/>
      <w:szCs w:val="20"/>
      <w:lang w:val="en-GB" w:bidi="en-US"/>
    </w:rPr>
  </w:style>
  <w:style w:type="character" w:styleId="Funotenzeichen">
    <w:name w:val="footnote reference"/>
    <w:basedOn w:val="Absatz-Standardschriftart"/>
    <w:unhideWhenUsed/>
    <w:rsid w:val="00A64690"/>
    <w:rPr>
      <w:vertAlign w:val="superscript"/>
    </w:rPr>
  </w:style>
  <w:style w:type="character" w:styleId="Fett">
    <w:name w:val="Strong"/>
    <w:aliases w:val="Übertitel 1"/>
    <w:rsid w:val="00A64690"/>
  </w:style>
  <w:style w:type="character" w:styleId="Hervorhebung">
    <w:name w:val="Emphasis"/>
    <w:aliases w:val="Übertitel 2"/>
    <w:rsid w:val="00A64690"/>
    <w:rPr>
      <w:b/>
      <w:bCs/>
      <w:kern w:val="0"/>
      <w:sz w:val="24"/>
      <w:lang w:val="de-DE" w:eastAsia="en-US"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A64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4690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Manke</dc:creator>
  <cp:keywords/>
  <dc:description/>
  <cp:lastModifiedBy>Björn Manke</cp:lastModifiedBy>
  <cp:revision>1</cp:revision>
  <dcterms:created xsi:type="dcterms:W3CDTF">2015-02-13T11:30:00Z</dcterms:created>
  <dcterms:modified xsi:type="dcterms:W3CDTF">2015-02-13T11:31:00Z</dcterms:modified>
</cp:coreProperties>
</file>