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280"/>
              <w:left w:type="dxa" w:w="220"/>
              <w:bottom w:type="dxa" w:w="280"/>
              <w:right w:type="dxa" w:w="220"/>
            </w:tcMar>
          </w:tcPr>
          <w:p>
            <w:pPr>
              <w:spacing w:after="60" w:before="0"/>
              <w:jc w:val="center"/>
            </w:pPr>
            <w:r>
              <w:rPr>
                <w:rFonts w:ascii="Arial" w:cs="Arial" w:eastAsia="Arial" w:hAnsi="Arial"/>
                <w:b/>
                <w:bCs/>
                <w:color w:val="FFFFFF"/>
                <w:sz w:val="32"/>
                <w:szCs w:val="32"/>
              </w:rPr>
              <w:t xml:space="preserve">LAHMP</w:t>
            </w:r>
          </w:p>
          <w:p>
            <w:pPr>
              <w:spacing w:after="120" w:before="0"/>
              <w:jc w:val="center"/>
            </w:pPr>
            <w:r>
              <w:rPr>
                <w:rFonts w:ascii="Arial" w:cs="Arial" w:eastAsia="Arial" w:hAnsi="Arial"/>
                <w:b w:val="false"/>
                <w:bCs w:val="false"/>
                <w:color w:val="FFFFFF"/>
                <w:sz w:val="20"/>
                <w:szCs w:val="20"/>
              </w:rPr>
              <w:t xml:space="preserve">Land Health Monitoring Platform</w:t>
            </w:r>
          </w:p>
          <w:p>
            <w:pPr>
              <w:spacing w:after="80" w:before="0"/>
              <w:jc w:val="center"/>
            </w:pPr>
            <w:r>
              <w:rPr>
                <w:rFonts w:ascii="Arial" w:cs="Arial" w:eastAsia="Arial" w:hAnsi="Arial"/>
                <w:b/>
                <w:bCs/>
                <w:color w:val="FFFFFF"/>
                <w:sz w:val="26"/>
                <w:szCs w:val="26"/>
              </w:rPr>
              <w:t xml:space="preserve">Indicator Group Profile Template</w:t>
            </w:r>
          </w:p>
          <w:p>
            <w:pPr>
              <w:spacing w:after="80" w:before="0"/>
              <w:jc w:val="center"/>
            </w:pPr>
            <w:r>
              <w:rPr>
                <w:rFonts w:ascii="Arial" w:cs="Arial" w:eastAsia="Arial" w:hAnsi="Arial"/>
                <w:b w:val="false"/>
                <w:bCs w:val="false"/>
                <w:color w:val="FFFFFF"/>
                <w:sz w:val="16"/>
                <w:szCs w:val="16"/>
              </w:rPr>
              <w:t xml:space="preserve">v2.0 — April 2026</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7"/>
                <w:szCs w:val="17"/>
              </w:rPr>
              <w:t xml:space="preserve">⚠  DRAFT — UNVALIDATED</w:t>
            </w:r>
          </w:p>
          <w:p>
            <w:pPr>
              <w:spacing w:after="80" w:before="0"/>
              <w:jc w:val="left"/>
            </w:pPr>
            <w:r>
              <w:rPr>
                <w:rFonts w:ascii="Arial" w:cs="Arial" w:eastAsia="Arial" w:hAnsi="Arial"/>
                <w:b w:val="false"/>
                <w:bCs w:val="false"/>
                <w:color w:val="1A1A1A"/>
                <w:sz w:val="16"/>
                <w:szCs w:val="16"/>
              </w:rPr>
              <w:t xml:space="preserve">Content based on scientific literature and expert knowledge as of April 2026. All 40 profiles require systematic review by subject matter experts before platform deployment. All claims must cite a source listed in the References section — see Notation Standards below.</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Document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v2.0 — April 2026 (revised from v1.0: added monitoring task type, A8 abiotic precursor linkages, expected direction of change, photography guidance, safety notes, identification errors, notation standards, ILM mapping table, flora variant appendix)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Draft prototype — awaiting expert validation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Companion document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LAHMP_Indicator_Linkage_Matrix.xlsx — structured linkage data for platform development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Primary authors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[IUCN Land Health Team]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Contact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[contact@iucn.org]</w:t>
            </w:r>
          </w:p>
        </w:tc>
      </w:tr>
    </w:tbl>
    <w:p>
      <w:pPr>
        <w:spacing w:after="40" w:before="0"/>
      </w:pPr>
      <w:r>
        <w:rPr>
          <w:rFonts w:ascii="Arial" w:cs="Arial" w:eastAsia="Arial" w:hAnsi="Arial"/>
          <w:b w:val="false"/>
          <w:bCs w:val="false"/>
          <w:color w:val="1A1A1A"/>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HOW TO USE THIS TEMPLATE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1A1A1A"/>
                <w:sz w:val="17"/>
                <w:szCs w:val="17"/>
              </w:rPr>
              <w:t xml:space="preserve">This template defines the structure for all 40 LAHMP indicator group profiles. Each profile follows this exact structure. Fields shown in italic grey text are placeholders indicating what content should be entered. Fields shown in regular text are structural labels or instructions. Do not alter the field structure — it is designed to feed directly into the platform's knowledge base and the companion Indicator Linkage Matrix.</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PURPOSE OF THE INDICATOR PROFILES</w:t>
            </w:r>
          </w:p>
        </w:tc>
      </w:tr>
    </w:tbl>
    <w:p>
      <w:pPr>
        <w:spacing w:after="40" w:before="0"/>
      </w:pPr>
      <w:r>
        <w:rPr>
          <w:rFonts w:ascii="Arial" w:cs="Arial" w:eastAsia="Arial" w:hAnsi="Arial"/>
          <w:b w:val="false"/>
          <w:bCs w:val="false"/>
          <w:color w:val="1A1A1A"/>
          <w:sz w:val="18"/>
          <w:szCs w:val="18"/>
        </w:rPr>
        <w:t xml:space="preserve"> </w:t>
      </w:r>
    </w:p>
    <w:p>
      <w:pPr>
        <w:spacing w:after="60" w:before="0"/>
        <w:jc w:val="left"/>
      </w:pPr>
      <w:r>
        <w:rPr>
          <w:rFonts w:ascii="Arial" w:cs="Arial" w:eastAsia="Arial" w:hAnsi="Arial"/>
          <w:b w:val="false"/>
          <w:bCs w:val="false"/>
          <w:color w:val="1A1A1A"/>
          <w:sz w:val="17"/>
          <w:szCs w:val="17"/>
        </w:rPr>
        <w:t xml:space="preserve">Each indicator group profile serves four functions within the LAHMP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Function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RELEVANCE FILTER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The Step 1 linkages (Linkage A) determine whether this group appears in the monitoring plan, based on the user's confirmed pressures, challenges, ecosystem services, EFGs, and land use.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VERIFICATION LINK</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The practice linkages (Linkage B) connect the group to practices selected in Step 2, so the user understands what they are monitoring for and what trend indicates success.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ECOLOGICAL COHERENCE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The group interaction linkages (Linkage C) explain how this group connects to others, enabling the platform to suggest efficient monitoring packages.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OPERATIONAL GUIDANCE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The protocol menu (Layer 2) provides field monitoring methods at three capacity levels, enabling Step 4 to select protocols based on the Step 3 capacity assessment.</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bCs/>
                <w:color w:val="1A1A1A"/>
                <w:sz w:val="17"/>
                <w:szCs w:val="17"/>
              </w:rPr>
              <w:t xml:space="preserve">THREE PARALLEL MONITORING STREAMS</w:t>
            </w:r>
          </w:p>
          <w:p>
            <w:pPr>
              <w:spacing w:after="80" w:before="0"/>
              <w:jc w:val="left"/>
            </w:pPr>
            <w:r>
              <w:rPr>
                <w:rFonts w:ascii="Arial" w:cs="Arial" w:eastAsia="Arial" w:hAnsi="Arial"/>
                <w:b w:val="false"/>
                <w:bCs w:val="false"/>
                <w:color w:val="1A1A1A"/>
                <w:sz w:val="16"/>
                <w:szCs w:val="16"/>
              </w:rPr>
              <w:t xml:space="preserve">LAHMP v1 generates monitoring plans across three streams simultaneously: (1) Practice monitoring — generated from the Practice Matrix; (2) Abiotic monitoring — generated from the Abiotic Reference Table; (3) Biodiversity monitoring — generated from the Indicator Linkage Matrix, which is populated from these indicator profiles. This template exclusively serves stream 3. Practice and abiotic monitoring are fully specified in their respective knowledge base files.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THREE MONITORING STAGES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Stage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Timing</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What happens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STAGE 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Year 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Practice monitoring + abiotic baselines + biological baselines for fast-responding groups. No biological trend data expected.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STAGE 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Year 2–5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Fast-responding biological indicators enter annual monitoring once practice implementation is confirmed.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STAGE 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Year 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Slow-responding indicators introduced once fast-responding groups show interpretable trends.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THREE CAPACITY LEVELS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Level</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Team</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Methods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Community observer or farmer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Visual observation, presence-absence, photographic documentation, structured scorecard. No specialist equipment or taxonomic expertise.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Trained field technician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Standardised trapping, extraction, or transect methods. Equipment and field identification skill required. No laboratory analysis.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Specialist with laboratory access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Microscopic extraction and identification, molecular analysis, full phytosociological survey. Laboratory infrastructure and specialist expertise.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NOTATION STANDARDS — CITATION REQUIREMENTS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60" w:before="0"/>
              <w:jc w:val="left"/>
            </w:pPr>
            <w:r>
              <w:rPr>
                <w:rFonts w:ascii="Arial" w:cs="Arial" w:eastAsia="Arial" w:hAnsi="Arial"/>
                <w:b/>
                <w:bCs/>
                <w:color w:val="C0392B"/>
                <w:sz w:val="17"/>
                <w:szCs w:val="17"/>
              </w:rPr>
              <w:t xml:space="preserve">All ecological claims must cite a source.</w:t>
            </w:r>
          </w:p>
          <w:p>
            <w:pPr>
              <w:spacing w:after="60" w:before="0"/>
              <w:jc w:val="left"/>
            </w:pPr>
            <w:r>
              <w:rPr>
                <w:rFonts w:ascii="Arial" w:cs="Arial" w:eastAsia="Arial" w:hAnsi="Arial"/>
                <w:b w:val="false"/>
                <w:bCs w:val="false"/>
                <w:color w:val="1A1A1A"/>
                <w:sz w:val="16"/>
                <w:szCs w:val="16"/>
              </w:rPr>
              <w:t xml:space="preserve">The [*] marker (general scientific consensus — unsourced) is DEPRECATED in v2. It is no longer acceptable to mark a claim as [*] and leave it without a citation. Every statement of ecological fact, quantitative threshold, response timescale, or protocol specification must be traceable to a cited source in the References section at the end of the profile.</w:t>
            </w:r>
          </w:p>
          <w:p>
            <w:pPr>
              <w:spacing w:after="60" w:before="0"/>
              <w:jc w:val="left"/>
            </w:pPr>
            <w:r>
              <w:rPr>
                <w:rFonts w:ascii="Arial" w:cs="Arial" w:eastAsia="Arial" w:hAnsi="Arial"/>
                <w:b/>
                <w:bCs/>
                <w:color w:val="1A1A1A"/>
                <w:sz w:val="17"/>
                <w:szCs w:val="17"/>
              </w:rPr>
              <w:t xml:space="preserve">[~]</w:t>
            </w:r>
            <w:r>
              <w:rPr>
                <w:rFonts w:ascii="Arial" w:cs="Arial" w:eastAsia="Arial" w:hAnsi="Arial"/>
                <w:b w:val="false"/>
                <w:bCs w:val="false"/>
                <w:color w:val="1A1A1A"/>
                <w:sz w:val="16"/>
                <w:szCs w:val="16"/>
              </w:rPr>
              <w:t xml:space="preserve">  Approximate value or rule of thumb — directionally correct but context-dependent. Use this marker AND a supporting citation. Reviewer action: verify against primary source and note regional calibration needs.</w:t>
            </w:r>
          </w:p>
          <w:p>
            <w:pPr>
              <w:spacing w:after="80" w:before="0"/>
              <w:jc w:val="left"/>
            </w:pPr>
            <w:r>
              <w:rPr>
                <w:rFonts w:ascii="Arial" w:cs="Arial" w:eastAsia="Arial" w:hAnsi="Arial"/>
                <w:b/>
                <w:bCs/>
                <w:color w:val="1A1A1A"/>
                <w:sz w:val="17"/>
                <w:szCs w:val="17"/>
              </w:rPr>
              <w:t xml:space="preserve">[geo]</w:t>
            </w:r>
            <w:r>
              <w:rPr>
                <w:rFonts w:ascii="Arial" w:cs="Arial" w:eastAsia="Arial" w:hAnsi="Arial"/>
                <w:b w:val="false"/>
                <w:bCs w:val="false"/>
                <w:color w:val="1A1A1A"/>
                <w:sz w:val="16"/>
                <w:szCs w:val="16"/>
              </w:rPr>
              <w:t xml:space="preserve">  Geographic specificity — well-supported for temperate European or North American systems. Applicability to other biomes unverified. Use this marker AND a supporting citation. Reviewer action: confirm or qualify for non-temperate contexts.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INDICATOR LINKAGE MATRIX — COLUMN MAPPING</w:t>
            </w:r>
          </w:p>
        </w:tc>
      </w:tr>
    </w:tbl>
    <w:p>
      <w:pPr>
        <w:spacing w:after="40" w:before="0"/>
      </w:pPr>
      <w:r>
        <w:rPr>
          <w:rFonts w:ascii="Arial" w:cs="Arial" w:eastAsia="Arial" w:hAnsi="Arial"/>
          <w:b w:val="false"/>
          <w:bCs w:val="false"/>
          <w:color w:val="1A1A1A"/>
          <w:sz w:val="18"/>
          <w:szCs w:val="18"/>
        </w:rPr>
        <w:t xml:space="preserve"> </w:t>
      </w:r>
    </w:p>
    <w:p>
      <w:pPr>
        <w:spacing w:after="80" w:before="0"/>
        <w:jc w:val="left"/>
      </w:pPr>
      <w:r>
        <w:rPr>
          <w:rFonts w:ascii="Arial" w:cs="Arial" w:eastAsia="Arial" w:hAnsi="Arial"/>
          <w:b w:val="false"/>
          <w:bCs w:val="false"/>
          <w:color w:val="1A1A1A"/>
          <w:sz w:val="17"/>
          <w:szCs w:val="17"/>
        </w:rPr>
        <w:t xml:space="preserve">Each field in this profile template feeds a specific column in the Indicator Linkage Matrix. Use this table when populating the matrix from completed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6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Profile section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ILM column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Col #</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Profile number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Profile #</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Plain language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Profile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Category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Category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Tier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Tier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Hard prerequisite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Hard Prerequisite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Taxonomic position / Community type description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Taxonomic Position (fauna/microbial) / Community Type Description (flora)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7</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Primary monitoring role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Primary Monitoring Role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Monitoring stage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Monitoring Stage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Response timescale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Response Timescale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A1 — Block 4 pressures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Block 4 Pressures Addressed (numbers)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A2 — Block 5 challenges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Block 5 Challenges Signalled (numbers)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A3 — Block 6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Block 6 Services Supported (numbers)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A4 — Relevant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Relevant EFGs (Tier 1 codes)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A5 — Relevant IPCC land use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Relevant IPCC Land Use Categories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A6 — Soil type associations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Type Associations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A7 — Crop / livestock associations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Crop / Livestock Associations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17</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B1 — Practices that benefit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B1: Practices That Benefit (P-codes)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B2 — Practices primarily verified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B2: Practices Primarily Verified (P-codes)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Linkage C — Connected groups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Linkage C: Connected Groups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Layer 2 Level 1 protocol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1 Protocol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Layer 2 Level 2 protocol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2 Protocol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Layer 2 Level 3 protocol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3 Protocol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Layer 2 Level 1 output metric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1 Output Metric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Layer 2 Level 2 output metric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2 Output Metric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Layer 2 Level 3 output metric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3 Output Metric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Sources and references (primary cited source)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Primary Reference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27</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Monitoring task type (NEW v2)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Monitoring Task Type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B2 expected direction of change (NEW v2)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B2: Expected Direction of Change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Validation status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Validation Status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Reviewer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Reviewer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33</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PRIMARY REFERENCE FRAMEWORKS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Framework</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Role in profiles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LDSF — Land Degradation Surveillance Framework (CIFOR-ICRAF, 2025)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Primary reference for abiotic indicators and soil protocols. ldsf.thegrit.earth</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TAPE — Tool for Agroecology Performance Evaluation (FAO, 2026)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Practice self-assessment reference. fao.org/agroecology/tools-tape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Ecdysis 1000 Farms Initiative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Primary reference for Level 2 biological field protocols. ecdysis.bio/1000-farms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Cool Farm Tool (Cool Farm Alliance)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Complementary reference for quantified biodiversity scoring. coolfarm.org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IUCN Global Ecosystem Typology 2.0 (Keith et al. 2020)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Source of EFG classification used in A4. portals.iucn.org</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COMPLETE LIST OF 41 INDICATOR PROFILES — 36 Universal + 5 Conditional</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800"/>
        <w:gridCol w:w="12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Profile Name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Category</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Tier</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Monitoring Stage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bacteria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microbial and fungal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(1–2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Mycorrhizal fungi</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microbial and fungal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(2–4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Nematodes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invertebrate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Fast–medium (1–3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04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Springtails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invertebrate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(1–3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Oribatid mites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invertebrate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(2–4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06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Earthworms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invertebrate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(1–3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Terrestrial snails and slugs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invertebrate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Fast–medium (1–3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Ants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and ground surface ecosystem engineers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(1–3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Dung beetles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and ground surface ecosystem engineers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(1–3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Ground beetles and rove beetles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Aboveground invertebrate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(1–3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Spiders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Aboveground invertebrate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(1–3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Parasitic wasps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Aboveground invertebrate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(2–4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Aboveground invertebrate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(1–3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Hoverflies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Aboveground invertebrate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(1–3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Butterflies and moths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Aboveground invertebrate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(2–5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Grasshoppers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Aboveground invertebrate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Fast–medium (1–3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Aquatic macroinvertebrates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Aquatic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(1–2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Fish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Aquatic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(3–5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Bats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(2–5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Farmland birds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Slow (5–10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Frogs and toads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(3–7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Small mammal insectivores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(3–7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Lizards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Reptile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(3–5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Snakes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Reptile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Slow (5+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Small carnivores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Medium–slow (5–8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Birds of prey and owls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Slow (5–10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Arable field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(1–2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Grassland and meadow plant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Medium–slow (3–15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Field margin and uncropped boundary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Fast–medium (1–3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Hedgerow and woody boundary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Slow (5–15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Aquatic and riparian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(3–7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surface biological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(1–3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Scattered trees and parkland tree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Slow (decades)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Woody plant regeneration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(3–7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Invasive plant species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(1–2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Permanent crop and orchard understory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Vegetation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Fast–medium (1–4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Termites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and ground surface ecosystem engineers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Conditional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(2–5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Freshwater turtles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Aquatic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Conditional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(3–7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Salamanders and newts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Amphibian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Conditional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(2–5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40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Large soil invertebrates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invertebrate communities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Conditional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Medium (2–5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41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Crop pest invertebrates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Aboveground invertebrate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Conditional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Fast (1–2 seasons)</w:t>
            </w:r>
          </w:p>
        </w:tc>
      </w:tr>
    </w:tbl>
    <w:p>
      <w:pPr>
        <w:spacing w:after="40" w:before="0"/>
      </w:pPr>
      <w:r>
        <w:rPr>
          <w:rFonts w:ascii="Arial" w:cs="Arial" w:eastAsia="Arial" w:hAnsi="Arial"/>
          <w:b w:val="false"/>
          <w:bCs w:val="false"/>
          <w:color w:val="1A1A1A"/>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20"/>
                <w:szCs w:val="20"/>
              </w:rPr>
              <w:t xml:space="preserve">INDICATOR GROUP PROFILE TEMPLATE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1A1A1A"/>
                <w:sz w:val="17"/>
                <w:szCs w:val="17"/>
              </w:rPr>
              <w:t xml:space="preserve">The following template is used for each of the 40 indicator group profiles. Fields in italic grey are placeholders. Content entered here is both human-readable (for ecologists, field teams, and reviewers) and machine-readable (extracted into the Indicator Linkage Matrix for platform development). Do not alter the field structure.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DRAFT — Unvalidated. Requires review by subject matter experts before platform deployment.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[Month Year]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[Month Year — or 'Not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[Name, Institution — or 'Not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[Any specific questions or uncertainties flagged by the author for reviewer attention. List statements marked [~] or [geo] that require regional calibration verification.]</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[01–40]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[The confirmed plain-language name from the 40-profile framework]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[One of: Soil microbial and fungal communities / Soil invertebrate communities / Soil and ground surface ecosystem engineers / Aboveground invertebrate communities / Aquatic communities / Vertebrate communities / 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[Universal / Conditional]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[If conditional: the specific geographic, ecological, or contextual conditions that must be met for this profile to be surfaced in the monitoring plan. If universal: 'Not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[The physical condition that must exist for this group to be monitorable at all — e.g. 'Permanent or semi-permanent watercourse present'; 'Livestock present at sufficient density'. If none: 'None']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[Fauna and microbial profiles: Kingdom &gt; Phylum &gt; Class &gt; Order or Family as appropriate. Vegetation profiles: use 'Community type description' — see Flora Variant Appendix. For mixed-kingdom groups: list all kingdoms represented.]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[Fauna and microbial profiles: Ecological indicator. Flora profiles: one or more of — Ecological indicator / Practice verification / Soil-habitat proxy. See Flora Variant Appendix for guidance on flora monitoring roles.]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[Select the primary monitoring task type for this profile. This field is used by the Step 4 algorithm to select the data recording schema for the field card. Choose one:]</w:t>
            </w:r>
          </w:p>
          <w:p>
            <w:pPr>
              <w:spacing w:after="80" w:before="0"/>
              <w:jc w:val="left"/>
            </w:pPr>
            <w:r>
              <w:rPr>
                <w:rFonts w:ascii="Arial" w:cs="Arial" w:eastAsia="Arial" w:hAnsi="Arial"/>
                <w:b w:val="false"/>
                <w:bCs w:val="false"/>
                <w:color w:val="555555"/>
                <w:sz w:val="16"/>
                <w:szCs w:val="16"/>
              </w:rPr>
              <w:t xml:space="preserve">• Biological count-based — counts of individuals per unit effort (most fauna groups)</w:t>
            </w:r>
          </w:p>
          <w:p>
            <w:pPr>
              <w:spacing w:after="80" w:before="0"/>
              <w:jc w:val="left"/>
            </w:pPr>
            <w:r>
              <w:rPr>
                <w:rFonts w:ascii="Arial" w:cs="Arial" w:eastAsia="Arial" w:hAnsi="Arial"/>
                <w:b w:val="false"/>
                <w:bCs w:val="false"/>
                <w:color w:val="555555"/>
                <w:sz w:val="16"/>
                <w:szCs w:val="16"/>
              </w:rPr>
              <w:t xml:space="preserve">• Biological community composition — flora quadrat and transect surveys generating species richness and cover data</w:t>
            </w:r>
          </w:p>
          <w:p>
            <w:pPr>
              <w:spacing w:after="80" w:before="0"/>
              <w:jc w:val="left"/>
            </w:pPr>
            <w:r>
              <w:rPr>
                <w:rFonts w:ascii="Arial" w:cs="Arial" w:eastAsia="Arial" w:hAnsi="Arial"/>
                <w:b w:val="false"/>
                <w:bCs w:val="false"/>
                <w:color w:val="555555"/>
                <w:sz w:val="16"/>
                <w:szCs w:val="16"/>
              </w:rPr>
              <w:t xml:space="preserve">• Biological presence/absence — detection/non-detection surveys (bats, most vertebrates)</w:t>
            </w:r>
          </w:p>
          <w:p>
            <w:pPr>
              <w:spacing w:after="80" w:before="0"/>
              <w:jc w:val="left"/>
            </w:pPr>
            <w:r>
              <w:rPr>
                <w:rFonts w:ascii="Arial" w:cs="Arial" w:eastAsia="Arial" w:hAnsi="Arial"/>
                <w:b w:val="false"/>
                <w:bCs w:val="false"/>
                <w:color w:val="555555"/>
                <w:sz w:val="16"/>
                <w:szCs w:val="16"/>
              </w:rPr>
              <w:t xml:space="preserve">Flora profiles with multiple applicable task type variants should record the primary/default type here. All applicable variants should be described in the Layer 2 operational description and in the Flora Variant Appendix.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[2–3 sentences describing what this group does in the agricultural landscape and why it matters for land health. Written for a non-specialist user. Keep accessible — avoid jargon. This text feeds the ecological logic section of the master document chain sub-section.]</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555555"/>
                <w:sz w:val="17"/>
                <w:szCs w:val="17"/>
              </w:rPr>
              <w:t xml:space="preserve">[Write 2–4 sentences in plain language explaining why this group matters for land health. This text feeds the chain sub-section of the Step 4 master document — it is what the coordinator reads when they see why this group is included in their monitoring plan. It must be ecologically accurate and engaging without requiring specialist knowledge. Example: 'Earthworms are the engineers of agricultural soils. A single healthy population processes tonnes of organic matter per hectare each year, building the pore structure that lets water infiltrate and the channels that let roots grow deep. Their abundance is one of the clearest and most accessible signs of whether a soil is recovering biological function — and one of the first things to collapse under intensive tillage and agrochemical pressure.']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[Fast (Stage 2, Year 1–3) / Medium (Stage 2–3, Year 2–7) / Slow (Stage 3, Year 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Response timescale to management change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[Expected time for a measurable population-level or community-level response to management change under favourable conditions. Cite the primary literature supporting this timescale. Note any geographic variation — [geo] if primarily temperate evidence.]</w:t>
            </w:r>
          </w:p>
        </w:tc>
      </w:tr>
    </w:tbl>
    <w:p>
      <w:pPr>
        <w:spacing w:after="40" w:before="0"/>
      </w:pPr>
      <w:r>
        <w:rPr>
          <w:rFonts w:ascii="Arial" w:cs="Arial" w:eastAsia="Arial" w:hAnsi="Arial"/>
          <w:b w:val="false"/>
          <w:bCs w:val="false"/>
          <w:color w:val="1A1A1A"/>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1A1A1A"/>
                <w:sz w:val="16"/>
                <w:szCs w:val="16"/>
              </w:rPr>
              <w:t xml:space="preserve">Static content — validated by ecologists. This layer provides the ecological intelligence that Step 4 uses to personalise the monitoring plan to the user's specific landscape, pressures, and goals.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555555"/>
                <w:sz w:val="16"/>
                <w:szCs w:val="16"/>
              </w:rPr>
              <w:t xml:space="preserve">For each relevant pressure: state the pressure number and name, then describe the mechanism of impact in 1–2 sentences. Cite evidence. Do not include pressures where the relationship is highly indirect or geographically restricted without noting this with [geo].</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 how this pressure negatively affects the group (cite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[Pressure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[1–2 sentence mechanism — cite direction of effect, key ecological pathway, and evidence e.g. Goulson et al. 2015]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[Pressure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that this group's decline signals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555555"/>
                <w:sz w:val="16"/>
                <w:szCs w:val="16"/>
              </w:rPr>
              <w:t xml:space="preserve">For each relevant challenge: explain why a declining or degraded population of this group is an ecological signal that this challenge is occurring or worsening. 1–2 sentences with citation. These signals feed the field card 'Why you are monitoring this' section.</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 — what this group's decline indicates about this challenge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[Challenge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[1–2 sentence diagnostic relationship — cite]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[Challenge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 this group supports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555555"/>
                <w:sz w:val="16"/>
                <w:szCs w:val="16"/>
              </w:rPr>
              <w:t xml:space="preserve">For each relevant service: describe the functional mechanism by which this group contributes to service delivery. 1–2 sentences with citation. Distinguish direct provision from indirect support. These feed the field card 'Why you are monitoring this' section alongside A2.</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Ecosystem 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 — how this group supports service delivery (cite)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[Service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[1–2 sentence functional contribution — e.g. 'Wild bees directly provide pollination services; global crop production value estimated at USD 235–577 billion (IPBES 2016)']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[Service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 (IUCN Global Ecosystem Typology 2.0)</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 on relevance or conditionality within this EFG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[Note any specific aspects — e.g. 'most relevant in low-input extensive systems; reduced relevance in intensively managed monocultures']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[Land use category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[Any conditionality or notes on relevance within this land use type]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555555"/>
                <w:sz w:val="16"/>
                <w:szCs w:val="16"/>
              </w:rPr>
              <w:t xml:space="preserve">Complete only where there is well-evidenced association with specific soil types. Leave blank or write 'Not soil-type specific' where the group is broadly distributed. Cite the primary evidence for any stated association.</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 — nature of relationship to this indicator group (cite)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type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[e.g. 'Earthworm abundance is strongly positively associated with soils with pH &gt;5.0 and high organic matter content (Edwards &amp; Bohlen 1996). Populations collapse in soils with pH &lt;4.5 [~].']</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555555"/>
                <w:sz w:val="16"/>
                <w:szCs w:val="16"/>
              </w:rPr>
              <w:t xml:space="preserve">Complete where this group has significant associations with specific crop systems or livestock types — e.g. groups dependent on pollinator-dependent crops, or on livestock dung as breeding substrate. Write 'Not crop or livestock specific' where not applicable.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Crop / Livestock 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 (cite)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[Crop or livestock category]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[e.g. 'Dung beetles are dependent on livestock dung as breeding and feeding substrate; monitoring is only meaningful where livestock are present at sufficient density. Evidence: Nichols et al. (2008).']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60" w:before="0"/>
              <w:jc w:val="left"/>
            </w:pPr>
            <w:r>
              <w:rPr>
                <w:rFonts w:ascii="Arial" w:cs="Arial" w:eastAsia="Arial" w:hAnsi="Arial"/>
                <w:b w:val="false"/>
                <w:bCs w:val="false"/>
                <w:color w:val="555555"/>
                <w:sz w:val="16"/>
                <w:szCs w:val="16"/>
              </w:rPr>
              <w:t xml:space="preserve">List the LAHMP abiotic indicators (from the Abiotic Reference Table, A01–A18) that are the earliest measurable physical or chemical signals that conditions are improving for this biological group. These are the abiotic measurements that should show a positive trend BEFORE biological recovery is detectable — they are leading indicators of the management change that this biological group will eventually reflect.</w:t>
            </w:r>
          </w:p>
          <w:p>
            <w:pPr>
              <w:spacing w:after="80" w:before="0"/>
              <w:jc w:val="left"/>
            </w:pPr>
            <w:r>
              <w:rPr>
                <w:rFonts w:ascii="Arial" w:cs="Arial" w:eastAsia="Arial" w:hAnsi="Arial"/>
                <w:b w:val="false"/>
                <w:bCs w:val="false"/>
                <w:color w:val="555555"/>
                <w:sz w:val="16"/>
                <w:szCs w:val="16"/>
              </w:rPr>
              <w:t xml:space="preserve">Reference indicators by their LAHMP ID (A01–A18). Do not reference removed indicators (A13 Haney, A14 PLFA, A19 Canopy cover, A20 Land use change — see internal note). The 'Expected relationship' column should describe the direction and mechanism: what abiotic threshold is associated with biological response?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Indicator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 Name</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 — how this abiotic signal precedes biological response (cite)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[Soil organic carbon]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[e.g. 'Earthworm abundance correlates positively with SOC; populations below 50 ind/m² typically indicate SOC below 1.5% [~] in temperate arable soils (Curry 2004). SOC recovery under improved management precedes earthworm abundance recovery by 1–2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[A0X]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[Indicator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555555"/>
                <w:sz w:val="16"/>
                <w:szCs w:val="16"/>
              </w:rPr>
              <w:t xml:space="preserve">List all practices from the LAHMP Practice Matrix (P01–P43) expected to have a positive effect on this group's abundance, diversity, or functional activity. Include P-code, name, and one-sentence mechanism. Cite evidence where available.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 how this practice benefits the group (cite)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[Practice name from matrix]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[One sentence: the ecological pathway — e.g. 'Reducing tillage (P01) allows soil fungal networks to develop undisturbed, significantly increasing mycorrhizal colonisation rates within 2–3 seasons (Helgason et al. 1998)']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555555"/>
                <w:sz w:val="16"/>
                <w:szCs w:val="16"/>
              </w:rPr>
              <w:t xml:space="preserve">From the B1 list, identify practices for which this group is the PRIMARY or most sensitive biological indicator. Focus on the most direct and ecologically specific causal relationships. The fourth column — Expected direction of change — is used by the Step 4 algorithm in the chain sub-section of the master document.</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2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being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of change and timescale (→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[Practice name from matrix]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[One sentence: the specific causal chain being verified — what biological response is expected from this practice]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[One sentence: the expected direction and approximate timescale — e.g. 'Earthworm abundance increases progressively over 2–5 years; anecic guild re-establishes after 3–5 years of consistent management']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[Practice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[mechanism]</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[direction and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 as needed]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1A1A1A"/>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1A1A1A"/>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1A1A1A"/>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EBF3FB" w:val="clear"/>
            <w:tcMar>
              <w:top w:type="dxa" w:w="120"/>
              <w:left w:type="dxa" w:w="160"/>
              <w:bottom w:type="dxa" w:w="120"/>
              <w:right w:type="dxa" w:w="160"/>
            </w:tcMar>
          </w:tcPr>
          <w:p>
            <w:pPr>
              <w:spacing w:after="80" w:before="0"/>
              <w:jc w:val="left"/>
            </w:pPr>
            <w:r>
              <w:rPr>
                <w:rFonts w:ascii="Arial" w:cs="Arial" w:eastAsia="Arial" w:hAnsi="Arial"/>
                <w:b w:val="false"/>
                <w:bCs w:val="false"/>
                <w:color w:val="555555"/>
                <w:sz w:val="16"/>
                <w:szCs w:val="16"/>
              </w:rPr>
              <w:t xml:space="preserve">List other indicator groups that have a functionally significant ecological connection to this group. State the direction and describe the plain-language mechanism. These interactions enable the platform to suggest efficient monitoring packages and help users interpret unexpected results.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Plain-language ecological mechanism (cite where possible)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[Profile name of connected group]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[This group depends on / This group supports / 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[One to two sentences — e.g. 'Wild bees depend on arable field vegetation and field margin vegetation: the diversity of flowering plants in uncropped areas is a primary determinant of wild bee colony persistence (Potts et al. 2010)']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[Profile 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[Direction]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rows]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1A1A1A"/>
                <w:sz w:val="16"/>
                <w:szCs w:val="16"/>
              </w:rPr>
              <w:t xml:space="preserve">Dynamic content — validated by field monitoring specialists. The platform selects from this menu based on the Step 3 capacity assessment. Include a protocol entry for each capacity level where a validated, practically applicable protocol exists. If no protocol exists at a given level, write 'No protocol available at this capacity level' and briefly explain why.</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Visual observation, presence-absence, photographic documentation, structured scorecard. No specialist equipment or taxonomic expertise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[Name of the standardised or named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[Abundance / diversity / functional activity / community composition / condition / presence-absence]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[Brief description sufficient for a trained person to execute the protocol without additional resources. Include: where to locate monitoring points, what to do, what to record, and what to avoid. Target 3–6 sentences. Framed relative to agricultural management cycle where relevant.]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[List all equipment needed: traps, containers, extraction chemicals, hand tools, identification guides, GPS, data sheets]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[Description of the identification skill and field experience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[The optimal season and within-season timing. For fauna: frame relative to biological activity window (breeding, migration, peak activity). For flora: frame relative to agricultural management events (before first cut, after grazing withdrawal, between spray applications).]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[Secondary monitoring window if applicable, or 'None']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[Estimated time on site per monitoring visit, including setup, sampling, and recording]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[Number]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[Number of years of consistent monitoring before trends become statistically interpretable]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[The specific number, index, or observation recorded — e.g. number of individuals per trap per night; species richness per quadrat; BMWP score; percentage cover class. Use Darwin-Core-compatible field names where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[What to photograph, from what distance, under what conditions. Include: the monitoring point context (wider shot), the indicator group or community (close shot), any equipment in situ. Specify whether photographs are required or recommended.]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[List 2–3 identification errors most likely at community observer level. Format: 'Often confused with: [taxon or feature] — distinguish by: [key feature]'. This field is critical for data quality — be specific.]</w:t>
            </w:r>
          </w:p>
          <w:p>
            <w:pPr>
              <w:spacing w:after="80" w:before="0"/>
              <w:jc w:val="left"/>
            </w:pPr>
            <w:r>
              <w:rPr>
                <w:rFonts w:ascii="Arial" w:cs="Arial" w:eastAsia="Arial" w:hAnsi="Arial"/>
                <w:b w:val="false"/>
                <w:bCs w:val="false"/>
                <w:color w:val="555555"/>
                <w:sz w:val="16"/>
                <w:szCs w:val="16"/>
              </w:rPr>
              <w:t xml:space="preserve">Example: 'Hoverflies are often confused with honeybees — distinguish by: hoverflies have two wings (bees have four), cannot sting, and hover motionless mid-air. Solitary bees are often confused with wasps — distinguish by: solitary bees are hairy, wasps are smooth and narrowly waisted.'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[Plain-language guide to interpreting trends. Must explicitly connect the biological trend to at least one A2 challenge and one A3 ecosystem service relevant to this landscape. Format: 'An increasing trend indicates [ecological meaning], which signals improvement in [A2 challenge reference] and strengthens [A3 service reference]. A declining trend indicates [meaning] and may signal [pressure from A1]. Stability at low levels indicates [meaning]. Main confounding factors: [list].]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Safety and access notes (optional)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[Complete only where genuinely relevant. Include: night or low-visibility work, water or aquatic sampling, handling of chemicals (e.g. mustard extraction), working near livestock, access agreements required, lone working protocols. Write 'Not applicable' if none apply.]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[Name of framework, publication, or protocol standard — e.g. LDSF Field Manual 2025; Ecdysis 1000 Farms sampling protocol; ISO 23611-1:2018]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[URL or DOI]</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Standardised trapping, extraction, or transect methods. Equipment and field identification skill required. No laboratory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[Name of the standardised or named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[Abundance / diversity / functional activity / community composition / condition / presence-absence]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[Brief description sufficient for a trained person to execute the protocol without additional resources. Include: where to locate monitoring points, what to do, what to record, and what to avoid. Target 3–6 sentences. Framed relative to agricultural management cycle where relevant.]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[List all equipment needed: traps, containers, extraction chemicals, hand tools, identification guides, GPS, data sheets]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[Description of the identification skill and field experience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[The optimal season and within-season timing. For fauna: frame relative to biological activity window (breeding, migration, peak activity). For flora: frame relative to agricultural management events (before first cut, after grazing withdrawal, between spray applications).]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[Secondary monitoring window if applicable, or 'None']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[Estimated time on site per monitoring visit, including setup, sampling, and recording]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[Number]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[Number of years of consistent monitoring before trends become statistically interpretable]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[The specific number, index, or observation recorded — e.g. number of individuals per trap per night; species richness per quadrat; BMWP score; percentage cover class. Use Darwin-Core-compatible field names where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[What to photograph, from what distance, under what conditions. Include: the monitoring point context (wider shot), the indicator group or community (close shot), any equipment in situ. Specify whether photographs are required or recommended.]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[Plain-language guide to interpreting trends. Must explicitly connect the biological trend to at least one A2 challenge and one A3 ecosystem service relevant to this landscape. Format: 'An increasing trend indicates [ecological meaning], which signals improvement in [A2 challenge reference] and strengthens [A3 service reference]. A declining trend indicates [meaning] and may signal [pressure from A1]. Stability at low levels indicates [meaning]. Main confounding factors: [list].]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Safety and access notes (optional)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[Complete only where genuinely relevant. Include: night or low-visibility work, water or aquatic sampling, handling of chemicals (e.g. mustard extraction), working near livestock, access agreements required, lone working protocols. Write 'Not applicable' if none apply.]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[Name of framework, publication, or protocol standard — e.g. LDSF Field Manual 2025; Ecdysis 1000 Farms sampling protocol; ISO 23611-1:2018]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[URL or DOI]</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Microscopic extraction and identification, molecular analysis, or full phytosociological survey. Laboratory infrastructure and specialist expertise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[Name of the standardised or named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[Abundance / diversity / functional activity / community composition / condition / presence-absence]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[Brief description sufficient for a trained person to execute the protocol without additional resources. Include: where to locate monitoring points, what to do, what to record, and what to avoid. Target 3–6 sentences. Framed relative to agricultural management cycle where relevant.]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[List all equipment needed: traps, containers, extraction chemicals, hand tools, identification guides, GPS, data sheets]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[Description of the identification skill and field experience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[The optimal season and within-season timing. For fauna: frame relative to biological activity window (breeding, migration, peak activity). For flora: frame relative to agricultural management events (before first cut, after grazing withdrawal, between spray applications).]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[Secondary monitoring window if applicable, or 'None']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[Estimated time on site per monitoring visit, including setup, sampling, and recording]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[Number]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[Number of years of consistent monitoring before trends become statistically interpretable]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[The specific number, index, or observation recorded — e.g. number of individuals per trap per night; species richness per quadrat; BMWP score; percentage cover class. Use Darwin-Core-compatible field names where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[What to photograph, from what distance, under what conditions. Include: the monitoring point context (wider shot), the indicator group or community (close shot), any equipment in situ. Specify whether photographs are required or recommended.]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[Plain-language guide to interpreting trends. Must explicitly connect the biological trend to at least one A2 challenge and one A3 ecosystem service relevant to this landscape. Format: 'An increasing trend indicates [ecological meaning], which signals improvement in [A2 challenge reference] and strengthens [A3 service reference]. A declining trend indicates [meaning] and may signal [pressure from A1]. Stability at low levels indicates [meaning]. Main confounding factors: [list].]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Safety and access notes (optional)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[Complete only where genuinely relevant. Include: night or low-visibility work, water or aquatic sampling, handling of chemicals (e.g. mustard extraction), working near livestock, access agreements required, lone working protocols. Write 'Not applicable' if none apply.]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[Name of framework, publication, or protocol standard — e.g. LDSF Field Manual 2025; Ecdysis 1000 Farms sampling protocol; ISO 23611-1:2018]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1A1A1A"/>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555555"/>
                <w:sz w:val="17"/>
                <w:szCs w:val="17"/>
              </w:rPr>
              <w:t xml:space="preserve">[URL or DOI]</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SHARED PROTOCOL NOTE — Conditional</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F4ECF7" w:val="clear"/>
            <w:tcMar>
              <w:top w:type="dxa" w:w="120"/>
              <w:left w:type="dxa" w:w="160"/>
              <w:bottom w:type="dxa" w:w="120"/>
              <w:right w:type="dxa" w:w="160"/>
            </w:tcMar>
          </w:tcPr>
          <w:p>
            <w:pPr>
              <w:spacing w:after="80" w:before="0"/>
              <w:jc w:val="left"/>
            </w:pPr>
            <w:r>
              <w:rPr>
                <w:rFonts w:ascii="Arial" w:cs="Arial" w:eastAsia="Arial" w:hAnsi="Arial"/>
                <w:b/>
                <w:bCs/>
                <w:color w:val="1A1A1A"/>
                <w:sz w:val="17"/>
                <w:szCs w:val="17"/>
              </w:rPr>
              <w:t xml:space="preserve">Include this section ONLY if this profile's Level 3 protocol generates data also used by another LAHMP indicator profile.</w:t>
            </w:r>
          </w:p>
          <w:p>
            <w:pPr>
              <w:spacing w:after="60" w:before="0"/>
              <w:jc w:val="left"/>
            </w:pPr>
            <w:r>
              <w:rPr>
                <w:rFonts w:ascii="Arial" w:cs="Arial" w:eastAsia="Arial" w:hAnsi="Arial"/>
                <w:b w:val="false"/>
                <w:bCs w:val="false"/>
                <w:color w:val="555555"/>
                <w:sz w:val="17"/>
                <w:szCs w:val="17"/>
              </w:rPr>
              <w:t xml:space="preserve">[PROTOCOL NAME] — this analysis also generates data for Profile [XX] — [PROFILE NAME]. A single laboratory submission covers both profiles. See Profile [XX] for the [specify: mycorrhizal / bacterial / other] data derived from the same analysis. Reference for the dual-use methodology: [CITATION].</w:t>
            </w:r>
          </w:p>
          <w:p>
            <w:pPr>
              <w:spacing w:after="40" w:before="0"/>
              <w:jc w:val="left"/>
            </w:pPr>
            <w:r>
              <w:rPr>
                <w:rFonts w:ascii="Arial" w:cs="Arial" w:eastAsia="Arial" w:hAnsi="Arial"/>
                <w:b/>
                <w:bCs/>
                <w:color w:val="1A1A1A"/>
                <w:sz w:val="16"/>
                <w:szCs w:val="16"/>
              </w:rPr>
              <w:t xml:space="preserve">Currently confirmed shared protocols:</w:t>
            </w:r>
          </w:p>
          <w:p>
            <w:pPr>
              <w:spacing w:after="80" w:before="0"/>
              <w:jc w:val="left"/>
            </w:pPr>
            <w:r>
              <w:rPr>
                <w:rFonts w:ascii="Arial" w:cs="Arial" w:eastAsia="Arial" w:hAnsi="Arial"/>
                <w:b w:val="false"/>
                <w:bCs w:val="false"/>
                <w:color w:val="555555"/>
                <w:sz w:val="16"/>
                <w:szCs w:val="16"/>
              </w:rPr>
              <w:t xml:space="preserve">PLFA microbial community analysis — shared between Profile 01 (Soil bacteria, bacterial fraction) and Profile 02 (Mycorrhizal fungi, NLFA 16:1ω5 AMF fraction). References: Frostegård et al. (1991); Bossio &amp; Scow (1998).</w:t>
            </w:r>
          </w:p>
        </w:tc>
      </w:tr>
    </w:tbl>
    <w:p>
      <w:pPr>
        <w:spacing w:after="40" w:before="0"/>
      </w:pPr>
      <w:r>
        <w:rPr>
          <w:rFonts w:ascii="Arial" w:cs="Arial" w:eastAsia="Arial" w:hAnsi="Arial"/>
          <w:b w:val="false"/>
          <w:bCs w:val="false"/>
          <w:color w:val="1A1A1A"/>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39C12"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FLORA VARIANT APPENDIX — Profiles 23–32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80" w:before="0"/>
              <w:jc w:val="left"/>
            </w:pPr>
            <w:r>
              <w:rPr>
                <w:rFonts w:ascii="Arial" w:cs="Arial" w:eastAsia="Arial" w:hAnsi="Arial"/>
                <w:b w:val="false"/>
                <w:bCs w:val="false"/>
                <w:color w:val="1A1A1A"/>
                <w:sz w:val="16"/>
                <w:szCs w:val="16"/>
              </w:rPr>
              <w:t xml:space="preserve">This appendix consolidates all flora-specific modifications to the standard template. Flora profiles (vegetation community indicator groups, Profiles 23–32) differ from fauna and microbial profiles in several structural ways. Apply all relevant modifications from this appendix when building a vegetation community profile.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39C1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Flora modification 1 — Taxonomic position</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1A1A1A"/>
                <w:sz w:val="17"/>
                <w:szCs w:val="17"/>
              </w:rPr>
              <w:t xml:space="preserve">Replace 'Taxonomic position' with 'Community type description'</w:t>
            </w:r>
          </w:p>
          <w:p>
            <w:pPr>
              <w:spacing w:after="80" w:before="0"/>
              <w:jc w:val="left"/>
            </w:pPr>
            <w:r>
              <w:rPr>
                <w:rFonts w:ascii="Arial" w:cs="Arial" w:eastAsia="Arial" w:hAnsi="Arial"/>
                <w:b w:val="false"/>
                <w:bCs w:val="false"/>
                <w:color w:val="555555"/>
                <w:sz w:val="16"/>
                <w:szCs w:val="16"/>
              </w:rPr>
              <w:t xml:space="preserve">Describe the plant community type, dominant functional groups, and the range of management conditions covered. Example: 'Graminoid and forb communities in managed or semi-natural grasslands, pastures, and meadows. Encompasses all permanent grass-dominated agricultural vegetation from intensively managed monoculture ryegrass swards to species-rich traditional hay meadows. Dominant plant functional groups: grasses (Poaceae, Cyperaceae, Juncaceae), forbs, legumes (Fabaceae), and bryophytes (in low-input systems).'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39C1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Flora modification 2 — Primary monitoring role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1A1A1A"/>
                <w:sz w:val="17"/>
                <w:szCs w:val="17"/>
              </w:rPr>
              <w:t xml:space="preserve">Flora profiles may have up to three monitoring roles simultaneously.</w:t>
            </w:r>
          </w:p>
          <w:p>
            <w:pPr>
              <w:spacing w:after="80" w:before="0"/>
              <w:jc w:val="left"/>
            </w:pPr>
            <w:r>
              <w:rPr>
                <w:rFonts w:ascii="Arial" w:cs="Arial" w:eastAsia="Arial" w:hAnsi="Arial"/>
                <w:b w:val="false"/>
                <w:bCs w:val="false"/>
                <w:color w:val="555555"/>
                <w:sz w:val="16"/>
                <w:szCs w:val="16"/>
              </w:rPr>
              <w:t xml:space="preserve">• Ecological indicator — species composition and diversity reflect long-term management intensity, soil conditions, and disturbance history</w:t>
            </w:r>
          </w:p>
          <w:p>
            <w:pPr>
              <w:spacing w:after="80" w:before="0"/>
              <w:jc w:val="left"/>
            </w:pPr>
            <w:r>
              <w:rPr>
                <w:rFonts w:ascii="Arial" w:cs="Arial" w:eastAsia="Arial" w:hAnsi="Arial"/>
                <w:b w:val="false"/>
                <w:bCs w:val="false"/>
                <w:color w:val="555555"/>
                <w:sz w:val="16"/>
                <w:szCs w:val="16"/>
              </w:rPr>
              <w:t xml:space="preserve">• Practice verification — species richness trajectory and functional group shifts verify whether management practices are producing expected ecological change</w:t>
            </w:r>
          </w:p>
          <w:p>
            <w:pPr>
              <w:spacing w:after="80" w:before="0"/>
              <w:jc w:val="left"/>
            </w:pPr>
            <w:r>
              <w:rPr>
                <w:rFonts w:ascii="Arial" w:cs="Arial" w:eastAsia="Arial" w:hAnsi="Arial"/>
                <w:b w:val="false"/>
                <w:bCs w:val="false"/>
                <w:color w:val="555555"/>
                <w:sz w:val="16"/>
                <w:szCs w:val="16"/>
              </w:rPr>
              <w:t xml:space="preserve">• Soil-habitat proxy — community composition can be used to infer soil conditions through indicator species and Ellenberg-based interpretation. Include only where a validated indicator species system exists for the geographic context. Temperate European: Ellenberg indicator values (Ellenberg et al. 1992). Other regions: note the relevant system or write 'No validated indicator system available for this geographic context.'</w:t>
            </w:r>
          </w:p>
          <w:p>
            <w:pPr>
              <w:spacing w:after="80" w:before="0"/>
              <w:jc w:val="left"/>
            </w:pPr>
            <w:r>
              <w:rPr>
                <w:rFonts w:ascii="Arial" w:cs="Arial" w:eastAsia="Arial" w:hAnsi="Arial"/>
                <w:b w:val="false"/>
                <w:bCs w:val="false"/>
                <w:color w:val="555555"/>
                <w:sz w:val="15"/>
                <w:szCs w:val="15"/>
              </w:rPr>
              <w:t xml:space="preserve">[geo] Ellenberg indicator values are validated for temperate Central European systems. Their use in other biomes requires verification against regional indicator species literature.</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39C1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Flora modification 3 — Monitoring task type variants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80" w:before="0"/>
              <w:jc w:val="left"/>
            </w:pPr>
            <w:r>
              <w:rPr>
                <w:rFonts w:ascii="Arial" w:cs="Arial" w:eastAsia="Arial" w:hAnsi="Arial"/>
                <w:b/>
                <w:bCs/>
                <w:color w:val="1A1A1A"/>
                <w:sz w:val="17"/>
                <w:szCs w:val="17"/>
              </w:rPr>
              <w:t xml:space="preserve">Flora profiles may have multiple monitoring task type variants. Record the primary/default in the Identity block monitoring task type field (→ ILM col 28). Describe all applicable variants in the Layer 2 operational description.</w:t>
            </w:r>
          </w:p>
          <w:p>
            <w:pPr>
              <w:spacing w:after="40" w:before="0"/>
              <w:jc w:val="left"/>
            </w:pPr>
            <w:r>
              <w:rPr>
                <w:rFonts w:ascii="Arial" w:cs="Arial" w:eastAsia="Arial" w:hAnsi="Arial"/>
                <w:b/>
                <w:bCs/>
                <w:color w:val="1A1A1A"/>
                <w:sz w:val="16"/>
                <w:szCs w:val="16"/>
              </w:rPr>
              <w:t xml:space="preserve">Variant 1: Community composition survey</w:t>
            </w:r>
          </w:p>
          <w:p>
            <w:pPr>
              <w:spacing w:after="80" w:before="0"/>
              <w:jc w:val="left"/>
            </w:pPr>
            <w:r>
              <w:rPr>
                <w:rFonts w:ascii="Arial" w:cs="Arial" w:eastAsia="Arial" w:hAnsi="Arial"/>
                <w:b w:val="false"/>
                <w:bCs w:val="false"/>
                <w:color w:val="555555"/>
                <w:sz w:val="16"/>
                <w:szCs w:val="16"/>
              </w:rPr>
              <w:t xml:space="preserve">Quadrat-based assessment of species or functional group presence and cover at marked monitoring points. Data recording schema: Biological community composition. Used for: Profiles 24 (grassland), 25 (field margins), 28 (soil surface).</w:t>
            </w:r>
          </w:p>
          <w:p>
            <w:pPr>
              <w:spacing w:after="40" w:before="0"/>
              <w:jc w:val="left"/>
            </w:pPr>
            <w:r>
              <w:rPr>
                <w:rFonts w:ascii="Arial" w:cs="Arial" w:eastAsia="Arial" w:hAnsi="Arial"/>
                <w:b/>
                <w:bCs/>
                <w:color w:val="1A1A1A"/>
                <w:sz w:val="16"/>
                <w:szCs w:val="16"/>
              </w:rPr>
              <w:t xml:space="preserve">Variant 2: Structured walkthrough</w:t>
            </w:r>
          </w:p>
          <w:p>
            <w:pPr>
              <w:spacing w:after="80" w:before="0"/>
              <w:jc w:val="left"/>
            </w:pPr>
            <w:r>
              <w:rPr>
                <w:rFonts w:ascii="Arial" w:cs="Arial" w:eastAsia="Arial" w:hAnsi="Arial"/>
                <w:b w:val="false"/>
                <w:bCs w:val="false"/>
                <w:color w:val="555555"/>
                <w:sz w:val="16"/>
                <w:szCs w:val="16"/>
              </w:rPr>
              <w:t xml:space="preserve">Observer walks a defined route or linear feature recording species presence, cover density, and structural characteristics. Data recording schema: Biological community composition. Used for: Profile 26 (hedgerows), Profile 25 (field margins, alternative).</w:t>
            </w:r>
          </w:p>
          <w:p>
            <w:pPr>
              <w:spacing w:after="40" w:before="0"/>
              <w:jc w:val="left"/>
            </w:pPr>
            <w:r>
              <w:rPr>
                <w:rFonts w:ascii="Arial" w:cs="Arial" w:eastAsia="Arial" w:hAnsi="Arial"/>
                <w:b/>
                <w:bCs/>
                <w:color w:val="1A1A1A"/>
                <w:sz w:val="16"/>
                <w:szCs w:val="16"/>
              </w:rPr>
              <w:t xml:space="preserve">Variant 3: Cover and census assessment</w:t>
            </w:r>
          </w:p>
          <w:p>
            <w:pPr>
              <w:spacing w:after="80" w:before="0"/>
              <w:jc w:val="left"/>
            </w:pPr>
            <w:r>
              <w:rPr>
                <w:rFonts w:ascii="Arial" w:cs="Arial" w:eastAsia="Arial" w:hAnsi="Arial"/>
                <w:b w:val="false"/>
                <w:bCs w:val="false"/>
                <w:color w:val="555555"/>
                <w:sz w:val="16"/>
                <w:szCs w:val="16"/>
              </w:rPr>
              <w:t xml:space="preserve">Individual tree or shrub census with crown cover measurements and structural assessment. Data recording schema: Biological community composition. Used for: Profiles 29 (scattered trees), 32 (permanent crop understory).</w:t>
            </w:r>
          </w:p>
          <w:p>
            <w:pPr>
              <w:spacing w:after="40" w:before="0"/>
              <w:jc w:val="left"/>
            </w:pPr>
            <w:r>
              <w:rPr>
                <w:rFonts w:ascii="Arial" w:cs="Arial" w:eastAsia="Arial" w:hAnsi="Arial"/>
                <w:b/>
                <w:bCs/>
                <w:color w:val="1A1A1A"/>
                <w:sz w:val="16"/>
                <w:szCs w:val="16"/>
              </w:rPr>
              <w:t xml:space="preserve">Variant 4: Presence and spread mapping</w:t>
            </w:r>
          </w:p>
          <w:p>
            <w:pPr>
              <w:spacing w:after="80" w:before="0"/>
              <w:jc w:val="left"/>
            </w:pPr>
            <w:r>
              <w:rPr>
                <w:rFonts w:ascii="Arial" w:cs="Arial" w:eastAsia="Arial" w:hAnsi="Arial"/>
                <w:b w:val="false"/>
                <w:bCs w:val="false"/>
                <w:color w:val="555555"/>
                <w:sz w:val="16"/>
                <w:szCs w:val="16"/>
              </w:rPr>
              <w:t xml:space="preserve">Area-based mapping of species occurrence and extent. Data recording schema: Biological community composition. Used for: Profile 31 (invasive species), Profile 30 (woody regeneration).</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39C1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Flora modification 4 — Seasonal window</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1A1A1A"/>
                <w:sz w:val="17"/>
                <w:szCs w:val="17"/>
              </w:rPr>
              <w:t xml:space="preserve">For flora profiles, the seasonal window must be framed relative to agricultural management events, not just calendar dates.</w:t>
            </w:r>
          </w:p>
          <w:p>
            <w:pPr>
              <w:spacing w:after="80" w:before="0"/>
              <w:jc w:val="left"/>
            </w:pPr>
            <w:r>
              <w:rPr>
                <w:rFonts w:ascii="Arial" w:cs="Arial" w:eastAsia="Arial" w:hAnsi="Arial"/>
                <w:b w:val="false"/>
                <w:bCs w:val="false"/>
                <w:color w:val="555555"/>
                <w:sz w:val="16"/>
                <w:szCs w:val="16"/>
              </w:rPr>
              <w:t xml:space="preserve">Include the sub-field: 'Agricultural management context — frame timing relative to: before first cut / before or after grazing period / between spray applications / after harvest of associated crop / before or after coppicing or hedgerow management.'</w:t>
            </w:r>
          </w:p>
          <w:p>
            <w:pPr>
              <w:spacing w:after="80" w:before="0"/>
              <w:jc w:val="left"/>
            </w:pPr>
            <w:r>
              <w:rPr>
                <w:rFonts w:ascii="Arial" w:cs="Arial" w:eastAsia="Arial" w:hAnsi="Arial"/>
                <w:b w:val="false"/>
                <w:bCs w:val="false"/>
                <w:color w:val="555555"/>
                <w:sz w:val="16"/>
                <w:szCs w:val="16"/>
              </w:rPr>
              <w:t xml:space="preserve">Example: 'Primary window: late spring (May–June in northern hemisphere), before first hay cut and after full canopy closure. Avoid: immediately after mechanical cutting, heavy grazing events, or application of herbicides.'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39C1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Flora modification 5 — Canopy cover as output metric (Profiles 26, 27, 29, 30, 32)</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80" w:before="0"/>
              <w:jc w:val="left"/>
            </w:pPr>
            <w:r>
              <w:rPr>
                <w:rFonts w:ascii="Arial" w:cs="Arial" w:eastAsia="Arial" w:hAnsi="Arial"/>
                <w:b/>
                <w:bCs/>
                <w:color w:val="C0392B"/>
                <w:sz w:val="17"/>
                <w:szCs w:val="17"/>
              </w:rPr>
              <w:t xml:space="preserve">⚠ MANDATORY for five specific profiles: canopy cover or vegetation structure must be a named output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Profile</w:t>
                  </w:r>
                </w:p>
              </w:tc>
              <w:tc>
                <w:tcPr>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Named output metric required</w:t>
                  </w:r>
                </w:p>
              </w:tc>
              <w:tc>
                <w:tcPr>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Method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26 — Hedgerow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Canopy continuity (% length with closed overhead cover); vertical layering (ground/shrub/tree layers present); height class; width class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Structural walkthrough. Level 1: observer estimate. Level 2: measured transect.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27 — Aquatic/riparian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Riparian canopy cover (%) above bank and water surface at each monitoring point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1: visual estimate. Level 2: spherical densiometer.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29 — Scattered trees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Crown cover (%) of monitored area; canopy height; crown condition (full/partial/dying); number of canopy layers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1: visual cover class. Level 2: individual crown diameter measurements.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30 — Woody regeneration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Woody cover (%) by height class (&lt;50cm / 50cm–2m / &gt;2m)</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1: visual estimate at monitoring points. Level 2: point intercept transect.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32 — Permanent crop understory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Tree canopy cover (%) above the survey plot (contextual parameter recorded alongside understory community survey)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Level 1: visual estimate to nearest 10%. Level 2: spherical densiometer.</w:t>
                  </w:r>
                </w:p>
              </w:tc>
            </w:tr>
          </w:tbl>
          <w:p/>
        </w:tc>
      </w:tr>
    </w:tbl>
    <w:p>
      <w:pPr>
        <w:spacing w:after="40" w:before="0"/>
      </w:pPr>
      <w:r>
        <w:rPr>
          <w:rFonts w:ascii="Arial" w:cs="Arial" w:eastAsia="Arial" w:hAnsi="Arial"/>
          <w:b w:val="false"/>
          <w:bCs w:val="false"/>
          <w:color w:val="1A1A1A"/>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SOURCES AND REFERENCES</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1A1A1A"/>
                <w:sz w:val="16"/>
                <w:szCs w:val="16"/>
              </w:rPr>
              <w:t xml:space="preserve">List all scientific articles, technical reports, and institutional publications cited in this profile. Prioritise peer-reviewed literature. All claims in the profile must trace to an entry in this table. The 'Section cited in' column allows reviewers to verify citations efficiently.</w:t>
            </w:r>
          </w:p>
          <w:p>
            <w:pPr>
              <w:spacing w:after="80" w:before="0"/>
              <w:jc w:val="left"/>
            </w:pPr>
            <w:r>
              <w:rPr>
                <w:rFonts w:ascii="Arial" w:cs="Arial" w:eastAsia="Arial" w:hAnsi="Arial"/>
                <w:b w:val="false"/>
                <w:bCs w:val="false"/>
                <w:color w:val="555555"/>
                <w:sz w:val="15"/>
                <w:szCs w:val="15"/>
              </w:rPr>
              <w:t xml:space="preserve">Format: Author(s), Year. Title. Journal/Publisher. Volume(Issue): pages. DOI.</w:t>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3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[Author(s), Year. Title. Journal/Publisher. Volume(Issue): pages.]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[https://doi.org/...]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[e.g. Linkage A1,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[Add citations as needed]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555555"/>
                <w:sz w:val="16"/>
                <w:szCs w:val="16"/>
              </w:rPr>
              <w:t xml:space="preserve"/>
            </w:r>
          </w:p>
        </w:tc>
      </w:tr>
    </w:tbl>
    <w:p>
      <w:pPr>
        <w:spacing w:after="40" w:before="0"/>
      </w:pPr>
      <w:r>
        <w:rPr>
          <w:rFonts w:ascii="Arial" w:cs="Arial" w:eastAsia="Arial" w:hAnsi="Arial"/>
          <w:b w:val="false"/>
          <w:bCs w:val="false"/>
          <w:color w:val="1A1A1A"/>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center"/>
            </w:pPr>
            <w:r>
              <w:rPr>
                <w:rFonts w:ascii="Arial" w:cs="Arial" w:eastAsia="Arial" w:hAnsi="Arial"/>
                <w:b/>
                <w:bCs/>
                <w:color w:val="FFFFFF"/>
                <w:sz w:val="16"/>
                <w:szCs w:val="16"/>
              </w:rPr>
              <w:t xml:space="preserve">END OF PROFILE TEMPLATE v2.0 — Replicate this structure for each of the 40 indicator group profiles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4A7C3F" w:sz="3"/>
          </w:tcBorders>
          <w:tcMar>
            <w:bottom w:type="dxa" w:w="60"/>
          </w:tcMar>
        </w:tcPr>
        <w:p>
          <w:pPr>
            <w:spacing w:after="80" w:before="0"/>
            <w:jc w:val="left"/>
          </w:pPr>
          <w:r>
            <w:rPr>
              <w:rFonts w:ascii="Arial" w:cs="Arial" w:eastAsia="Arial" w:hAnsi="Arial"/>
              <w:b w:val="false"/>
              <w:bCs w:val="false"/>
              <w:color w:val="4A7C3F"/>
              <w:sz w:val="15"/>
              <w:szCs w:val="15"/>
            </w:rPr>
            <w:t xml:space="preserve">LAHMP Indicator Group Profile Template v2.0</w:t>
          </w:r>
        </w:p>
      </w:tc>
      <w:tc>
        <w:tcPr>
          <w:tcBorders>
            <w:bottom w:val="single" w:color="4A7C3F" w:sz="3"/>
          </w:tcBorders>
          <w:tcMar>
            <w:bottom w:type="dxa" w:w="60"/>
          </w:tcMar>
        </w:tcPr>
        <w:p>
          <w:pPr>
            <w:spacing w:after="80" w:before="0"/>
            <w:jc w:val="right"/>
          </w:pPr>
          <w:r>
            <w:rPr>
              <w:rFonts w:ascii="Arial" w:cs="Arial" w:eastAsia="Arial" w:hAnsi="Arial"/>
              <w:b w:val="false"/>
              <w:bCs w:val="false"/>
              <w:color w:val="888888"/>
              <w:sz w:val="15"/>
              <w:szCs w:val="15"/>
            </w:rPr>
            <w:t xml:space="preserve">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6ECC33-DE8E-428C-9645-5D847A3CB2B9}"/>
</file>

<file path=customXml/itemProps2.xml><?xml version="1.0" encoding="utf-8"?>
<ds:datastoreItem xmlns:ds="http://schemas.openxmlformats.org/officeDocument/2006/customXml" ds:itemID="{79C2FBE7-10C8-420F-9AF8-84E1B923B14A}"/>
</file>

<file path=customXml/itemProps3.xml><?xml version="1.0" encoding="utf-8"?>
<ds:datastoreItem xmlns:ds="http://schemas.openxmlformats.org/officeDocument/2006/customXml" ds:itemID="{5B7959AA-11FC-45A3-BA0F-5E1B65A2094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2026-04-11T21:32:52Z</dcterms:created>
  <dcterms:modified xsi:type="dcterms:W3CDTF">2026-04-11T21:32:52Z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