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6"/>
                <w:szCs w:val="26"/>
              </w:rPr>
              <w:t xml:space="preserve">Profile 01 — Soil bacteria and microbial communities</w:t>
            </w:r>
          </w:p>
          <w:p>
            <w:pPr>
              <w:spacing w:after="80" w:before="0"/>
              <w:jc w:val="center"/>
            </w:pPr>
            <w:r>
              <w:rPr>
                <w:rFonts w:ascii="Arial" w:cs="Arial" w:eastAsia="Arial" w:hAnsi="Arial"/>
                <w:b w:val="false"/>
                <w:bCs w:val="false"/>
                <w:color w:val="FFFFFF"/>
                <w:sz w:val="16"/>
                <w:szCs w:val="16"/>
              </w:rPr>
              <w:t xml:space="preserve">Category: Soil microbial and fungal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soil microbiology experts before platform deployment. All ecological claims are cited in the References section.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pH threshold values [~] in A1 pressure entries — verify optimal range and toxicity thresholds against primary sources and note regional calibration needs beyond temperate systems.</w:t>
            </w:r>
          </w:p>
          <w:p>
            <w:pPr>
              <w:spacing w:after="60" w:before="0"/>
              <w:jc w:val="left"/>
            </w:pPr>
            <w:r>
              <w:rPr>
                <w:rFonts w:ascii="Arial" w:cs="Arial" w:eastAsia="Arial" w:hAnsi="Arial"/>
                <w:b w:val="false"/>
                <w:bCs w:val="false"/>
                <w:color w:val="000000"/>
                <w:sz w:val="16"/>
                <w:szCs w:val="16"/>
              </w:rPr>
              <w:t xml:space="preserve">2. Response timescale claims — primary literature largely from temperate systems; [geo] markers flag claims requiring tropical/semi-arid verification.</w:t>
            </w:r>
          </w:p>
          <w:p>
            <w:pPr>
              <w:spacing w:after="60" w:before="0"/>
              <w:jc w:val="left"/>
            </w:pPr>
            <w:r>
              <w:rPr>
                <w:rFonts w:ascii="Arial" w:cs="Arial" w:eastAsia="Arial" w:hAnsi="Arial"/>
                <w:b w:val="false"/>
                <w:bCs w:val="false"/>
                <w:color w:val="000000"/>
                <w:sz w:val="16"/>
                <w:szCs w:val="16"/>
              </w:rPr>
              <w:t xml:space="preserve">3. Haney protocol Level 2 — confirm current Haney extraction volumes and scoring formula against Haney et al. (2018) before field card production.</w:t>
            </w:r>
          </w:p>
          <w:p>
            <w:pPr>
              <w:spacing w:after="80" w:before="0"/>
              <w:jc w:val="left"/>
            </w:pPr>
            <w:r>
              <w:rPr>
                <w:rFonts w:ascii="Arial" w:cs="Arial" w:eastAsia="Arial" w:hAnsi="Arial"/>
                <w:b w:val="false"/>
                <w:bCs w:val="false"/>
                <w:color w:val="000000"/>
                <w:sz w:val="16"/>
                <w:szCs w:val="16"/>
              </w:rPr>
              <w:t xml:space="preserve">4. PLFA shared protocol — confirm that the laboratory selected for Level 3 analysis reports the NLFA fraction (not all commercial laboratories do); this is required for the Profile 02 mycorrhizal data to be generated from the same submission.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bacteria and microbial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microbial and fungal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universally relevant wherever agricultural soils are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Domain: Bacteria (primary focus) — multiple phyla; dominant agricultural soil phyla include Proteobacteria, Actinobacteria, Firmicutes, Bacteroidetes, Acidobacteria, and Chloroflexi, with relative abundances strongly shaped by soil pH, organic carbon content, and management history (Fierer &amp; Jackson 2006; Lauber et al. 2009). Domain: Archaea (included in molecular analysis — ammonia-oxidising archaea are ecologically significant in nitrogen cycling).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microbial community biomass and metabolic activity are the most sensitive early measurable indicators of changes in soil carbon dynamics, nutrient cycling function, and soil biological health.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bacteria are the invisible engine of agricultural land health. They drive the decomposition of organic matter, the cycling of nitrogen and phosphorus into plant-available forms, the suppression of soil-borne diseases, and the regulation of greenhouse gas fluxes from agricultural soils. Their combined metabolic activity — measurable as CO₂ respiration — is the most direct, accessible signal of whether the soil biological system is functioning or suppressed.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Soil bacteria are the first indicator to respond when management changes — and the first to collapse under pressure. A teaspoon of healthy agricultural soil contains more bacterial cells than there are people on Earth, and their collective metabolic work underpins every service the soil provides. Measuring bacterial community activity is not a specialist luxury: a basic field jar test can tell a farmer whether their soil is waking up or still suppressed within a single season of changed management. The Haney Soil Health score — a Level 2 laboratory equivalent — is increasingly the first biological measurement that progressive agronomists and soil health advisors reach for, precisely because it responds fast enough to be actionable.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1 baseline + Stage 2 annual monitoring from Year 1). Measurable changes in microbial biomass and CO₂ respiration activity are detectable within one to two growing seasons following management changes affecting carbon inputs or soil disturbance (Hartmann et al. 2015; Spedding et al. 2004).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growing seasons): Detectable changes in microbial biomass carbon and CO₂ respiration activity following tillage cessation, introduction of cover crops, or organic amendment addition (Spedding et al. 2004; Hartmann et al. 2015).</w:t>
            </w:r>
          </w:p>
          <w:p>
            <w:pPr>
              <w:spacing w:after="60" w:before="0"/>
              <w:jc w:val="left"/>
            </w:pPr>
            <w:r>
              <w:rPr>
                <w:rFonts w:ascii="Arial" w:cs="Arial" w:eastAsia="Arial" w:hAnsi="Arial"/>
                <w:b w:val="false"/>
                <w:bCs w:val="false"/>
                <w:color w:val="000000"/>
                <w:sz w:val="17"/>
                <w:szCs w:val="17"/>
              </w:rPr>
              <w:t xml:space="preserve">Medium (2–4 years): Shifts in community composition — the relative abundance of different bacterial phyla and functional guilds — require longer to stabilise and are detectable through PLFA or metabarcoding (Hartmann et al. 2015).</w:t>
            </w:r>
          </w:p>
          <w:p>
            <w:pPr>
              <w:spacing w:after="80" w:before="0"/>
              <w:jc w:val="left"/>
            </w:pPr>
            <w:r>
              <w:rPr>
                <w:rFonts w:ascii="Arial" w:cs="Arial" w:eastAsia="Arial" w:hAnsi="Arial"/>
                <w:b w:val="false"/>
                <w:bCs w:val="false"/>
                <w:color w:val="000000"/>
                <w:sz w:val="16"/>
                <w:szCs w:val="16"/>
              </w:rPr>
              <w:t xml:space="preserve">[geo] Timescales apply to temperate systems. In tropical soils, early responses may be detectable within a single season. In semi-arid systems, multiple years of data across wet and dry seasons are required before trends are interpretable.</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soil microbiologists. This layer provides the ecological intelligence that Step 4 uses to personalise the monitoring plan to the user's specific landscape pressures, challenges, and goals.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disruption of soil aggregates destroys the microhabitat structure supporting bacterial microcolonies and their substrate access networks. Aggregate disruption releases physically protected organic matter in a carbon pulse that is initially stimulatory but results in net long-term organic matter depletion. Repeated tillage consistently reduces total microbial biomass carbon and shifts community composition toward fast-growing, disturbance-adapted taxa (Spedding et al. 2004).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by heavy machinery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Reduces gas diffusion through the soil pore network, shifting aerobic bacterial metabolism toward anaerobic pathways; reduces substrate access by disrupting the pore connectivity through which bacteria move and acquire dissolved organic carbon (Nannipieri et al.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Long-term nitrogen fertilisation progressively acidifies soil below the tolerance range of many bacterial taxa. Bacterial community composition is more strongly predicted by soil pH than by any other soil parameter at continental scales (Fierer &amp; Jackson 2006; Lauber et al. 2009). Excessive nitrogen also reduces the diversity of root exudate compounds by simplifying plant communities, reducing bacterial functional diversity in the rhizosphere.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Glyphosate-based herbicides alter bacterial community composition by selectively inhibiting taxa possessing the EPSPS metabolic pathway, shifting community structure independently of effects on plant communities. Broad-spectrum herbicides also reduce plant diversity and thus root exudate compound diversity (Johnsen et al.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fungicide application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Broad-spectrum fungicides disrupt fungal-bacterial interactions in the mycorrhizosphere, indirectly affecting bacterial community composition. Copper-based fungicides accumulate in soil and are directly toxic to soil bacteria at concentrations found in long-term treated orchards and vineyards (Giller et al. 1998).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fumigation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Chemical fumigants kill virtually all soil organisms including bacteria; populations may require multiple growing seasons to recolonise from untreated areas. The recovery community is often dominated by fast-growing opportunistic taxa that lack the functional diversity of the original community (Johnsen et al.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Monocultures reduce the diversity of root exudate compounds entering the rhizosphere, reducing bacterial functional diversity in the root zone. Monoculture soils consistently support smaller and less diverse bacterial communities than diverse rotations (Hartmann et al. 2015).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Bacterial community biomass is directly coupled to carbon input quantity and quality. Residue removal eliminates a primary carbon substrate source, reducing bacterial biomass and shifting community toward oligotrophic taxa with lower metabolic rates (Doran &amp; Zeiss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pollution by heavy metals or POPs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Copper, zinc, and cadmium are severely toxic to soil bacteria at concentrations found in contaminated agricultural soils. Long-term metal contamination selects for metal-tolerant taxa, reducing functional diversity of nutrient cycling processes. Heavy metal toxicity is one of the most persistent and difficult-to-reverse forms of soil biological impairment (Giller et al. 1998).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that this group's decline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 — what bacterial community decline indicates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microbial biomass carbon and CO₂ respiration activity are the most direct measurable signals of soil biodiversity decline — bacteria constitute the majority of soil biodiversity by biomass and metabolic activity in most agricultural systems. A declining Haney score across consecutive seasons at consistent temperature and moisture is the most accessible early warning signal of this challenge (Bünemann et al. 2018).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matter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microbial biomass is strongly positively correlated with soil organic matter content. Declining bacterial biomass carbon, measured by SIR or CFE, is a leading indicator of SOM depletion — it responds faster than total SOC measurements because it reflects the biologically available carbon fraction (Bünemann et al. 2018; Doran &amp; Zeiss 2000).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fertility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Bacterial communities mediate mineralisation of organic nitrogen and phosphorus into plant-available forms. Declining bacterial diversity and function directly reduces nutrient cycling efficiency, contributing to soil fertility decline before chemical analyses show measurable changes (Nannipieri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Nutrient runoff and leaching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Disruption of bacterial-mediated nitrification and denitrification processes increases mineral nitrogen vulnerability to leaching. Reduced microbial biomass reduces the capacity to immobilise mineral nitrogen during wet periods, increasing runoff risk (Nannipieri et al.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Bacteria-mediated aggregate formation is disrupted when microbial biomass declines; reduced binding of soil particles by microbial polysaccharides contributes to structural degradation. Declining bacterial community activity is both a consequence and a driver of soil structure loss (Doran &amp; Zeiss 2000).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 this group supports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Ecosystem 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 — how this group supports service delivery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Bacterial communities are the primary drivers of organic matter decomposition and nutrient mineralisation underpinning soil fertility. Soil microbial biomass is the most widely used biological indicator of soil quality in agronomic and research contexts (Bünemann et al. 2018).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bacteria are primary agents of methane oxidation (methanotrophs), nitrogen cycling (nitrifiers, denitrifiers), and carbon decomposition dynamics — all major determinants of agricultural greenhouse gas fluxes. Managing for a diverse, active bacterial community is among the most effective strategies for reducing agricultural emissions (Torsvik &amp; Øvreås 2002).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Disease-suppressive soils owe their suppressive capacity largely to diverse and competitive bacterial communities that outcompete root pathogens and produce antibiotic compounds. Bacterial community health is the primary ecological mechanism underlying soil disease suppressiveness (Garbeva et al. 2004).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 provisioning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Bacterial mineralisation of organic nitrogen and phosphorus is the primary mechanism through which organic matter inputs are converted to plant-available nutrients in low-input systems. Bacterial community function directly underpins the soil fertility that drives crop provisioning in systems reducing dependence on synthetic inputs (Doran &amp; Zeiss 2000).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arable and annual crop systems. Bacterial community suppression under intensive management is most acute and monitoring value is highest.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wherever improved grassland management is a programme objective.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orchard and plantation systems, particularly where soil health management under tree canopy is a programme goal.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low-input grassland contexts; bacterial communities in semi-natural grasslands differ functionally from arable systems.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soil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 are present and ecologically significant in all agricultural soil contexts. The five managed EFGs above are primary LAHMP deployment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bacterial community suppression and management-driven recovery are most acute and detectable in annual crop systems.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priority — bacterial community recovery under improved grazing management is well-documented and practically monitorable.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(managed)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agroforestry and managed forest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Clay-rich soils (Vertisols, Cambisols)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larger microbial biomass due to higher surface area for microbial attachment and stronger aggregate microhabitat structure. Clay-associated communities are more physically protected against disturbance (Spedding et al. 2004).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soils (Arenosols)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microbial biomass due to reduced surface area, lower water retention, and more rapid organic matter mineralisation. Response timescales may be shorter in sandy soils under management change.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Organic-rich soils (Histosols, Mollisols)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the highest microbial biomass of any soil type; carbon substrate availability is not limiting. Monitoring focuses on community composition and functional diversity rather than biomass alone.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Acidic soils (pH &lt; 5.0)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Strongly reduced bacterial diversity due to pH-driven community collapse; acid-tolerant Acidobacteria dominate. Recovery under liming or reduced acid fertiliser inputs can be measurable within 1–2 seasons (Lauber et al. 2009).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Crop / Livestock 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Leguminous crops (pulses, clover, alfalfa)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Support distinct rhizosphere bacterial communities including nitrogen-fixing Rhizobium and Bradyrhizobium taxa. Legume integration into rotations is among the most effective management tools for enhancing bacterial community functional diversity (Hartmann et al. 2015).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Deep-rooted cover crops (radish, phacelia, chicory)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Provide diverse root exudate profiles and physical biopore channels that enhance bacterial community diversity and activity in deeper soil horizons — complementary to surface-focused monitoring (Spedding et al. 2004).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Not livestock-system specific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bacterial communities are present across all livestock systems. Livestock dung return (in pasture systems) provides direct carbon substrate that sustains bacterial biomass during periods of low plant growth.</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The following abiotic indicators from the LAHMP Abiotic Reference Table are the earliest measurable physical and chemical signals that soil conditions are improving for bacterial community recovery. These abiotic signals should move in the indicated direction before biological recovery is expected at the monitoring timescales specified.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 — how this abiotic signal precedes bacterial response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microbial biomass is positively correlated with SOC across management systems; SOC improvement under improved management is typically measurable 1–2 seasons before significant increases in bacterial biomass carbon are detectable. SOC recovery is the primary enabling condition for bacterial community recovery (Bünemann et al. 2018; Doran &amp; Zeiss 2000).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aggregate stability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aggregate stability provides the physical microhabitat structure supporting bacterial microcolonies; improving aggregate stability under reduced tillage and organic input addition precedes measurable bacterial biomass increases by approximately one growing season (Spedding et al. 2004).</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pH is the strongest continental-scale predictor of bacterial community composition (Fierer &amp; Jackson 2006). pH recovery toward the optimal range for diverse agricultural bacterial communities (approximately 6.0–7.5 [~]) under reduced synthetic fertiliser inputs precedes bacterial diversity recovery. pH stabilisation should precede community composition shifts by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 plant cover sustains rhizosphere carbon input year-round, preventing the bacterial biomass collapse during bare soil periods that occurs under conventional management.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Diverse rotations provide varied root exudate inputs and organic matter quality, supporting higher bacterial diversity than monocultures (Hartmann et al. 2015).</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synthetic pesticides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Reduction of pesticide load reduces direct toxicity to bacterial communities and allows recovery of functional diversity in nutrient cycling guilds.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harvesting and soil moisture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Improved soil moisture conditions extend the period of bacterial metabolic activity, particularly in semi-arid systems where desiccation limits the monitoring window.</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Green manure incorporation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Incorporation of green manures provides concentrated, diverse organic substrate pulses that stimulate bacterial community diversity and biomass within a single growing season.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being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of change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Tillage cessation allows soil aggregate stabilisation and recovery of the physical microhabitat supporting bacterial microcolonies. CO₂ burst and microbial biomass carbon are the fastest biological indicators of tillage cessation effects — detectable within 1–2 growing seasons (Spedding et al. 2004).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CO₂ burst and Haney score increase progressively within 1–2 growing seasons of tillage cessation; bacteria-to-fungi ratio declines over 2–4 years as community shifts toward more fungal-dominated structure.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Establish cover crops and green manures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Cover crop root exudates and decomposing biomass provide diverse carbon substrates that stimulate bacterial diversity and activity above the level maintained by the main crop alone (Hartmann et al. 2015).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Soil CO₂ respiration and WEOC increase measurably within 1–2 seasons of cover crop introduction; microbial biomass carbon increases within 2–3 seasons of consistent cover cropping.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Apply compost and organic amendments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Direct organic carbon and nutrient substrate addition sustains and rebuilds bacterial community biomass in degraded soils. Carbon quality (C:N ratio) of the amendment shapes community response direction.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Haney score and CO₂ burst increase within 1–2 seasons of regular organic amendment; bacterial-to-fungal biomass ratio declines over 2–3 years as community diversifies.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Minimise synthetic fertiliser inputs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Reduction in nitrogen fertiliser inputs reduces soil acidification pressure and restores the plant community diversity that drives rhizosphere bacterial diversity (Lauber et al. 2009).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Soil pH stabilises and trends upward within 1–3 seasons of synthetic N reduction; bacterial diversity indices (Shannon, Chao1 from metabarcoding) increase as pH stabilises over 2–4 years.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P39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Increase soil organic carbon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Bacterial community biomass carbon and metabolic activity are the most responsive measurable early indicators of soil carbon building practices — they signal the biological component of carbon accumulation faster than total SOC measurements (Bünemann et al. 2018).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CO₂ burst, WEOC, and total microbial biomass carbon all increase progressively; Haney score improvement within 1–2 seasons is the primary early verification signal for this practice.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02 — Mycorrhizal fungi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Bacterial communities and AMF interact in the mycorrhizosphere — bacteria colonise AMF hyphal surfaces and influence plant-fungal nutrient exchange. The bacterial-to-fungal ratio from PLFA analysis (shared Level 3 protocol) provides a single metric spanning both profiles. Both groups respond positively to reduced tillage and organic inputs.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gut passage transforms bacterial community composition in casts, concentrating bacterial biomass and activity. Earthworm presence and bacterial community health are mutually reinforcing — both respond to the same management pressures and their trajectories are expected to align over the same 1–3 year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03 — Nematodes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Bacterial-feeding nematodes regulate bacterial community size and turnover. Their abundance reflects the health and stability of the bacterial community. Nematode functional group composition (bacterivore, fungivore, predatory) provides an independent validation of bacterial community health.</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field monitoring specialists. The platform selects from this menu based on the Step 3 capacity assessment.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Visual observation and field CO₂ respiration. No specialist equipment or taxonomic expertise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CO₂ respiration assessment (jar incubation method)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Basal metabolic activity of the soil bacterial community — a proxy for total soil biological activity and the health of the active microbial biomass.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At each monitoring point, collect a 50g soil sample from 0–15cm depth using a trowel, removing large stones and plant debris. Record soil moisture condition (wet / moist / dry) by feel and soil temperature at surface.</w:t>
            </w:r>
          </w:p>
          <w:p>
            <w:pPr>
              <w:spacing w:after="40" w:before="0"/>
              <w:jc w:val="left"/>
            </w:pPr>
            <w:r>
              <w:rPr>
                <w:rFonts w:ascii="Arial" w:cs="Arial" w:eastAsia="Arial" w:hAnsi="Arial"/>
                <w:b w:val="false"/>
                <w:bCs w:val="false"/>
                <w:color w:val="000000"/>
                <w:sz w:val="17"/>
                <w:szCs w:val="17"/>
              </w:rPr>
              <w:t xml:space="preserve">2. Place sample immediately in a 125ml glass or plastic jar and seal tightly with an airtight lid.</w:t>
            </w:r>
          </w:p>
          <w:p>
            <w:pPr>
              <w:spacing w:after="40" w:before="0"/>
              <w:jc w:val="left"/>
            </w:pPr>
            <w:r>
              <w:rPr>
                <w:rFonts w:ascii="Arial" w:cs="Arial" w:eastAsia="Arial" w:hAnsi="Arial"/>
                <w:b w:val="false"/>
                <w:bCs w:val="false"/>
                <w:color w:val="000000"/>
                <w:sz w:val="17"/>
                <w:szCs w:val="17"/>
              </w:rPr>
              <w:t xml:space="preserve">3. Incubate at ambient temperature (avoid direct sun) for 24 hours.</w:t>
            </w:r>
          </w:p>
          <w:p>
            <w:pPr>
              <w:spacing w:after="40" w:before="0"/>
              <w:jc w:val="left"/>
            </w:pPr>
            <w:r>
              <w:rPr>
                <w:rFonts w:ascii="Arial" w:cs="Arial" w:eastAsia="Arial" w:hAnsi="Arial"/>
                <w:b w:val="false"/>
                <w:bCs w:val="false"/>
                <w:color w:val="000000"/>
                <w:sz w:val="17"/>
                <w:szCs w:val="17"/>
              </w:rPr>
              <w:t xml:space="preserve">4. Insert a colorimetric CO₂ indicator tube (Dräger or equivalent) or portable CO₂ meter and record CO₂ concentration (ppm or %). Note the soil temperature inside the jar at time of measurement.</w:t>
            </w:r>
          </w:p>
          <w:p>
            <w:pPr>
              <w:spacing w:after="80" w:before="0"/>
              <w:jc w:val="left"/>
            </w:pPr>
            <w:r>
              <w:rPr>
                <w:rFonts w:ascii="Arial" w:cs="Arial" w:eastAsia="Arial" w:hAnsi="Arial"/>
                <w:b w:val="false"/>
                <w:bCs w:val="false"/>
                <w:color w:val="000000"/>
                <w:sz w:val="17"/>
                <w:szCs w:val="17"/>
              </w:rPr>
              <w:t xml:space="preserve">5. Record result and soil conditions on field datasheet. Compare across monitoring points and across seasons — relative differences are more informative than absolute values at this protocol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125ml glass or plastic jar with airtight lid; trowel; colorimetric CO₂ indicator tube (Dräger Polytron or equivalent — available online, ~USD 5–10 per tube) or portable CO₂ meter; digital thermometer; field datasheet and pen.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 specialist skill required. Community observers should be briefed on consistent sampling depth (0–15cm), consistent incubation duration (24 hours), and the importance of recording soil moisture and temperature conditions alongside CO₂ readings.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when soil temperature begins rising after winter and bacterial activity accelerates. In tropical systems: early wet season. Record the same season each year for trend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early dry season — before soil temperature drops and bacterial activity slows. Compare same-season results across years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Approximately 15 minutes per monitoring point for sample collection and jar setup; 24-hour incubation; 5 minutes for CO₂ reading and recording. Total active time per point: ~20 minutes.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(spring/early wet season) and secondary (autumn/early dry season) windows.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years of consistent same-season measurements before between-year trends are interpretable. Within-year variation between monitoring points is informative from Year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CO₂ concentration after 24-hour incubation (ppm or %). Expressed as relative comparison across monitoring points and seasons — not directly comparable to laboratory-measured values. Within-programme trend assessment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Wider context shot: photograph the monitoring point showing land management context (crop stage, cover, tillage evidence). (2) Setup shot: photograph the sealed jar in place with a scale reference before incubation. (3) Reading shot: photograph the CO₂ tube or meter reading alongside the field datasheet. Store photographs with GPS coordinates and date.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This protocol measures soil biological activity, not species identity. The primary source of error is variable soil moisture: wet soils produce higher CO₂ than dry soils at the same biological activity level. Always record moisture condition and avoid comparing results from samples taken at very different moisture states.</w:t>
            </w:r>
          </w:p>
          <w:p>
            <w:pPr>
              <w:spacing w:after="60" w:before="0"/>
              <w:jc w:val="left"/>
            </w:pPr>
            <w:r>
              <w:rPr>
                <w:rFonts w:ascii="Arial" w:cs="Arial" w:eastAsia="Arial" w:hAnsi="Arial"/>
                <w:b w:val="false"/>
                <w:bCs w:val="false"/>
                <w:color w:val="000000"/>
                <w:sz w:val="16"/>
                <w:szCs w:val="16"/>
              </w:rPr>
              <w:t xml:space="preserve">Second error: variable incubation temperature. A jar left in direct sunlight during incubation will give a falsely high reading. Always incubate in shade at consistent ambient temperature.</w:t>
            </w:r>
          </w:p>
          <w:p>
            <w:pPr>
              <w:spacing w:after="80" w:before="0"/>
              <w:jc w:val="left"/>
            </w:pPr>
            <w:r>
              <w:rPr>
                <w:rFonts w:ascii="Arial" w:cs="Arial" w:eastAsia="Arial" w:hAnsi="Arial"/>
                <w:b w:val="false"/>
                <w:bCs w:val="false"/>
                <w:color w:val="000000"/>
                <w:sz w:val="16"/>
                <w:szCs w:val="16"/>
              </w:rPr>
              <w:t xml:space="preserve">Third error: inconsistent sampling depth. Always sample at 0–15cm from undisturbed soil at the monitoring point — not from disturbed surface soil near vehicle tracks or footpaths.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An increasing CO₂ trend across consecutive same-season surveys signals improving soil bacterial activity — a positive early indicator relevant to Challenge #21 (Soil biodiversity decline) and supporting recovery of Service #15 (Soil quality regulation).</w:t>
            </w:r>
          </w:p>
          <w:p>
            <w:pPr>
              <w:spacing w:after="60" w:before="0"/>
              <w:jc w:val="left"/>
            </w:pPr>
            <w:r>
              <w:rPr>
                <w:rFonts w:ascii="Arial" w:cs="Arial" w:eastAsia="Arial" w:hAnsi="Arial"/>
                <w:b w:val="false"/>
                <w:bCs w:val="false"/>
                <w:color w:val="000000"/>
                <w:sz w:val="17"/>
                <w:szCs w:val="17"/>
              </w:rPr>
              <w:t xml:space="preserve">A stable low CO₂ across multiple seasons indicates biologically impoverished but stable soil — common in recently converted or heavily managed soils. Review organic carbon inputs and pH (A01, A08 abiotic precursors).</w:t>
            </w:r>
          </w:p>
          <w:p>
            <w:pPr>
              <w:spacing w:after="60" w:before="0"/>
              <w:jc w:val="left"/>
            </w:pPr>
            <w:r>
              <w:rPr>
                <w:rFonts w:ascii="Arial" w:cs="Arial" w:eastAsia="Arial" w:hAnsi="Arial"/>
                <w:b w:val="false"/>
                <w:bCs w:val="false"/>
                <w:color w:val="000000"/>
                <w:sz w:val="17"/>
                <w:szCs w:val="17"/>
              </w:rPr>
              <w:t xml:space="preserve">A declining CO₂ despite increased organic inputs suggests biological suppression overriding carbon substrate addition — possible pH decline, heavy metal accumulation, or persistent pesticide effects. Escalate to Level 2 Haney test.</w:t>
            </w:r>
          </w:p>
          <w:p>
            <w:pPr>
              <w:spacing w:after="80" w:before="0"/>
              <w:jc w:val="left"/>
            </w:pPr>
            <w:r>
              <w:rPr>
                <w:rFonts w:ascii="Arial" w:cs="Arial" w:eastAsia="Arial" w:hAnsi="Arial"/>
                <w:b w:val="false"/>
                <w:bCs w:val="false"/>
                <w:color w:val="000000"/>
                <w:sz w:val="16"/>
                <w:szCs w:val="16"/>
              </w:rPr>
              <w:t xml:space="preserve">Main confounding factors: soil temperature (always record), soil moisture (always record), recent rainfall or tillage events (note in field log). Do not compare absolute values across sites with different soil types.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Low risk. Obtain landowner access permission in advance. Avoid sampling in areas with known soil contamination without appropriate PPE. In areas with livestock, be aware of animal behaviour when moving through fields.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adaptation of the Haney CO₂ burst protocol (Haney et al. 2018) simplified for community observer application without laboratory equipment.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https://doi.org/10.1016/j.apsoil.2017.10.021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Haney Soil Health test — laboratory-grade soil biological activity assessment accessible to a trained technician with standard soil sampling equipment.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Haney Soil Health test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biological activity and nutrient availability through three integrated measurements: (1) CO₂ burst — 24-hour CO₂ evolution measuring active microbial respiration; (2) Water-extractable organic carbon (WEOC) — labile carbon available to microorganisms; (3) Water-extractable organic nitrogen (WEON) — labile organic nitrogen. Combined into the Haney Soil Health score (0–100 scale).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Field: Collect composite soil sample from 0–20cm depth — minimum 8 sub-samples per monitoring site mixed thoroughly in a clean bucket. Collect approximately 200g composite sample in a labelled paper bag. Air-dry at room temperature (not oven-dried — heat damages biological activity signal). Submit to laboratory within 2 weeks of collection.</w:t>
            </w:r>
          </w:p>
          <w:p>
            <w:pPr>
              <w:spacing w:after="80" w:before="0"/>
              <w:jc w:val="left"/>
            </w:pPr>
            <w:r>
              <w:rPr>
                <w:rFonts w:ascii="Arial" w:cs="Arial" w:eastAsia="Arial" w:hAnsi="Arial"/>
                <w:b w:val="false"/>
                <w:bCs w:val="false"/>
                <w:color w:val="000000"/>
                <w:sz w:val="17"/>
                <w:szCs w:val="17"/>
              </w:rPr>
              <w:t xml:space="preserve">Laboratory analysis: (1) CO₂ burst — 40g air-dried soil incubated with water addition for 24 hours; CO₂ evolved measured by infrared gas analyser. (2) WEOC and WEON — soil extracted with deionised water; organic carbon and nitrogen measured by TOC analyser. (3) Soil pH measured in water suspension. Haney Soil Health score calculated from these parameters.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corer or trowel (stainless steel, cleaned between sites); collection bucket; paper sample bags; field balance (for approximate weight check); permanent marker; courier or laboratory submission system. Laboratory: standard soil laboratory with infrared CO₂ analyser and TOC analyser.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sampling accessible to trained technician with standard soil sampling practice. No specialist knowledge required for sample collection — the analysis is conducted by the laboratory. Results interpretation requires understanding of the Haney scoring system and its relationship to soil biological health.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when soil temperature begins rising (soil temperature above 5°C at 10cm depth [~]). This is the peak period for detecting biological activity recovery and the most reproducible window for year-on-year comparison. Record sampling date and soil temperature at time of collection.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before soil temperature drops below 8°C [~]. Spring and autumn results together provide a within-year activity range that helps distinguish management effects from seasonal variation.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30–45 minutes per monitoring site for composite sample collection (8+ sub-samples, mixing, bagging, labelling). Plus 2–3 days laboratory turnaround.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(same season each year). Spring is strongly preferred for annual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consecutive same-season measurements (3 years) before between-year trends are statistically interpretable. Management-driven changes in Haney score are often detectable within 1–2 years but require a minimum 3-point time series for confidence.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Haney Soil Health score (0–100; higher = more biologically active and nutritionally balanced); CO₂ burst value (mg CO₂-C/kg dry soil); WEOC (mg/kg dry soil); WEON (mg/kg dry soil); soil pH. Report all four components — do not rely on the composite score alone.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Context shot: photograph each sampling point showing soil surface condition (bare/covered, tillage evidence, crop stage). (2) Core shot: photograph a representative soil core or trowel sample showing soil colour, texture, and visible biological activity (worm channels, fungal mycelium if visible). (3) Label shot: photograph the completed sample bag label and any field notes.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Haney score trend: increasing score across consecutive spring surveys signals bacterial community recovery and improving soil nutritional balance — direct verification evidence for P01, P03, P04, P05, and P39. Connect to Challenge #21 (Soil biodiversity decline) and Service #15 (Soil quality regulation) in the field card narrative.</w:t>
            </w:r>
          </w:p>
          <w:p>
            <w:pPr>
              <w:spacing w:after="60" w:before="0"/>
              <w:jc w:val="left"/>
            </w:pPr>
            <w:r>
              <w:rPr>
                <w:rFonts w:ascii="Arial" w:cs="Arial" w:eastAsia="Arial" w:hAnsi="Arial"/>
                <w:b w:val="false"/>
                <w:bCs w:val="false"/>
                <w:color w:val="000000"/>
                <w:sz w:val="17"/>
                <w:szCs w:val="17"/>
              </w:rPr>
              <w:t xml:space="preserve">Stable low score (&lt;20 [~]): biologically impoverished, often under long-term intensive management. Review A8 precursors — check SOC trend (A01) and pH (A08) before interpreting absence of biological response.</w:t>
            </w:r>
          </w:p>
          <w:p>
            <w:pPr>
              <w:spacing w:after="80" w:before="0"/>
              <w:jc w:val="left"/>
            </w:pPr>
            <w:r>
              <w:rPr>
                <w:rFonts w:ascii="Arial" w:cs="Arial" w:eastAsia="Arial" w:hAnsi="Arial"/>
                <w:b w:val="false"/>
                <w:bCs w:val="false"/>
                <w:color w:val="000000"/>
                <w:sz w:val="16"/>
                <w:szCs w:val="16"/>
              </w:rPr>
              <w:t xml:space="preserve">Declining score despite management improvement: biological suppression overriding substrate addition — escalate to Level 3 PLFA to identify community composition issues. Check for pH decline or heavy metal contamination.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Low risk. Standard soil sampling safety applies — wash hands after sampling, avoid sampling in areas with known contamination without PPE. Laboratory handling follows standard safe soil analysis protocols.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Haney RL, Haney EB, Smith DR, Harmel RD, White MJ (2018) The soil health tool — Theory and initial broad-scale application. Applied Soil Ecology 125:162–168.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https://doi.org/10.1016/j.apsoil.2017.10.021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PLFA microbial community analysis (shared with Profile 02) and 16S rRNA metabarcoding — full characterisation of bacterial community composition and diversity.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A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Phospholipid fatty acid (PLFA) microbial community analysis — bacterial fraction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Bacterial community biomass and community composition through identification and quantification of phospholipid-derived fatty acid biomarkers specific to gram-positive bacteria (iso and anteiso fatty acids), gram-negative bacteria (cyclopropyl fatty acids), and actinomycetes (10-methyl branched fatty acids). The bacterial-to-fungal ratio (B:F) from PLFA is the primary community-level diagnostic for management effects.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samples freeze-dried and extracted using the Bligh-Dyer solvent system. Phospholipid fraction separated by solid-phase extraction and subjected to mild alkaline methanolysis. Resulting fatty acid methyl esters (FAMEs) identified and quantified by GC-MS. Bacterial biomass estimated from total phospholipid-derived FAMEs; community composition from biomarker ratios.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Specialist GC-MS laboratory; freeze-dryer; solid-phase extraction cartridges; standard GC-MS consumables. Field: same as Level 2 composite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Experienced GC-MS analyst for data acquisition; experienced soil ecologist for interpretation of B:F ratios, gram+/gram- ratios, and actinomycete biomass.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Level 2 — spring primary window. Pair PLFA sampling with Haney test sampling for cost efficiency at the same field visit.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pair with Level 2 secondary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Level 2 for field sampling. Laboratory analysis: 2–5 days per batch.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window, same season each year).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community composition trends. B:F ratio shifts may be detectable within 2 years under strong management change.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bacterial PLFA biomass (nmol/g dry soil); gram-positive bacterial biomarkers; gram-negative bacterial biomarkers; actinomycete biomass; bacteria-to-fungi ratio (B:F) — primary diagnostic. Declining B:F ratio over time is the expected positive response to reduced tillage and organic input practices.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Same as Level 2 for field sampling. In addition: photograph soil freeze-dried material before extraction (for quality control documentation); retain a photograph of the chromatogram peak pattern for the laboratory record.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 laboratory chemical safety protocols for Bligh-Dyer solvent system (chloroform, methanol). GC-MS laboratory safety standards apply.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Frostegård Å, Tunlid A, Bååth E (1991); Bossio DA, Scow KM (1998); Buyer JS, Sasser M (2012) — see References section.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B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DNA metabarcoding — 16S rRNA amplicon sequencing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Bacterial community composition and diversity at the sequence variant (ASV) level — the most comprehensive characterisation of bacterial community structure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DNA extracted using PowerSoil kit or equivalent. 16S rRNA gene V4 region amplified using universal bacterial primers (e.g. 515F/806R). Amplicon library prepared and sequenced on Illumina MiSeq or equivalent. Bioinformatic pipeline (QIIME2 or DADA2) used for denoising, taxonomic classification, and diversity calculation.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Amplicon sequence variants (ASVs); alpha diversity indices (Shannon, Chao1); beta diversity (Bray-Curtis dissimilarity between sites and years); taxonomic composition at phylum and family level; functional guild prediction using PICRUSt2 or Tax4Fun.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PLFA — B:F ratio: a declining ratio over 3+ consecutive seasons under improved management indicates community shifting from bacterially-dominated (disturbed) toward more fungal-dominated (stable) composition — the expected positive trajectory under reduced tillage and organic input practices. A ratio consistently &gt;2:1 [~] indicates a disturbed, intensive system.</w:t>
            </w:r>
          </w:p>
          <w:p>
            <w:pPr>
              <w:spacing w:after="60" w:before="0"/>
              <w:jc w:val="left"/>
            </w:pPr>
            <w:r>
              <w:rPr>
                <w:rFonts w:ascii="Arial" w:cs="Arial" w:eastAsia="Arial" w:hAnsi="Arial"/>
                <w:b w:val="false"/>
                <w:bCs w:val="false"/>
                <w:color w:val="000000"/>
                <w:sz w:val="17"/>
                <w:szCs w:val="17"/>
              </w:rPr>
              <w:t xml:space="preserve">Metabarcoding — Shannon diversity: increasing diversity index under improved management indicates bacterial community recovery. Loss of diversity (declining Shannon) despite stable biomass indicates community simplification, possibly from selective pressure (pesticide, pH, heavy metals).</w:t>
            </w:r>
          </w:p>
          <w:p>
            <w:pPr>
              <w:spacing w:after="80" w:before="0"/>
              <w:jc w:val="left"/>
            </w:pPr>
            <w:r>
              <w:rPr>
                <w:rFonts w:ascii="Arial" w:cs="Arial" w:eastAsia="Arial" w:hAnsi="Arial"/>
                <w:b w:val="false"/>
                <w:bCs w:val="false"/>
                <w:color w:val="000000"/>
                <w:sz w:val="16"/>
                <w:szCs w:val="16"/>
              </w:rPr>
              <w:t xml:space="preserve">Both metrics connect to Challenge #21 (Soil biodiversity decline) and Service #15 (Soil quality regulation) in the Step 4 field card narrative. Expected direction of change for all B2 practices: increasing diversity, declining B:F ratio.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 molecular biology laboratory safety. DNA extraction chemicals require standard fume hood protocols.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Fierer N (2017) Embracing the unknown: disentangling the complexities of the soil microbiome. Nature Reviews Microbiology 15:579–590.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https://doi.org/10.1038/nrmicro.2017.87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SHARED LEVEL 3 PROTOCOL NOTE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F4ECF7" w:val="clear"/>
            <w:tcMar>
              <w:top w:type="dxa" w:w="120"/>
              <w:left w:type="dxa" w:w="160"/>
              <w:bottom w:type="dxa" w:w="120"/>
              <w:right w:type="dxa" w:w="160"/>
            </w:tcMar>
          </w:tcPr>
          <w:p>
            <w:pPr>
              <w:spacing w:after="80" w:before="0"/>
              <w:jc w:val="left"/>
            </w:pPr>
            <w:r>
              <w:rPr>
                <w:rFonts w:ascii="Arial" w:cs="Arial" w:eastAsia="Arial" w:hAnsi="Arial"/>
                <w:b/>
                <w:bCs/>
                <w:color w:val="6C3483"/>
                <w:sz w:val="17"/>
                <w:szCs w:val="17"/>
              </w:rPr>
              <w:t xml:space="preserve">⚠  Include this field card note when Profile 01 is at Level 3.</w:t>
            </w:r>
          </w:p>
          <w:p>
            <w:pPr>
              <w:spacing w:after="60" w:before="0"/>
              <w:jc w:val="left"/>
            </w:pPr>
            <w:r>
              <w:rPr>
                <w:rFonts w:ascii="Arial" w:cs="Arial" w:eastAsia="Arial" w:hAnsi="Arial"/>
                <w:b w:val="false"/>
                <w:bCs w:val="false"/>
                <w:color w:val="000000"/>
                <w:sz w:val="17"/>
                <w:szCs w:val="17"/>
              </w:rPr>
              <w:t xml:space="preserve">The PLFA analysis specified in Protocol A above also generates data for Profile 02 — Mycorrhizal fungi. The NLFA 16:1ω5 (neutral lipid fatty acid) biomarker specific to arbuscular mycorrhizal fungi is extracted from the same analysis. A single laboratory submission and a single field sampling visit covers both profiles. Inform the field coordinator and the laboratory of this cross-profile relationship to avoid duplicating sampling or laboratory costs.</w:t>
            </w:r>
          </w:p>
          <w:p>
            <w:pPr>
              <w:spacing w:after="80" w:before="0"/>
              <w:jc w:val="left"/>
            </w:pPr>
            <w:r>
              <w:rPr>
                <w:rFonts w:ascii="Arial" w:cs="Arial" w:eastAsia="Arial" w:hAnsi="Arial"/>
                <w:b w:val="false"/>
                <w:bCs w:val="false"/>
                <w:color w:val="000000"/>
                <w:sz w:val="16"/>
                <w:szCs w:val="16"/>
              </w:rPr>
              <w:t xml:space="preserve">References for dual-use methodology: Frostegård et al. (1991); Bossio &amp; Scow (1998); Buyer &amp; Sasser (2012).</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Format: Author(s) (Year) Title. Journal Volume:Pages. The 'Section cited in' column enables reviewers to verify citations efficiently.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Anderson JPE, Domsch KH (1978) A physiological method for the quantitative measurement of microbial biomass in soils. Soil Biology and Biochemistry 10:215–221.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https://doi.org/10.1016/0038-0717(78)90099-8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 (SIR method)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Bossio DA, Scow KM (1998) Impacts of carbon and flooding on soil microbial communities: phospholipid fatty acid profiles and substrate utilization patterns. Microbial Ecology 35:265–278.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https://doi.org/10.1007/s002489900099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Shared protocol note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Bünemann EK, Bongiorno G, Bai Z, Creamer RE, De Deyn G, de Goede R et al. (2018) Soil quality — a critical review. Soil Biology and Biochemistry 120:105–125.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https://doi.org/10.1016/j.soilbio.2018.01.030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A3, A8, B2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Buyer JS, Sasser M (2012) High throughput phospholipid fatty acid analysis of soils. Applied Soil Ecology 61:127–130.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https://doi.org/10.1016/j.apsoil.2011.12.028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Shared protocol note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Doran JW, Zeiss MR (2000) Soil health and sustainability: managing the biotic component of soil quality. Applied Soil Ecology 15:3–11.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https://doi.org/10.1016/S0929-1393(00)00016-1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A7, A8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Fierer N (2017) Embracing the unknown: disentangling the complexities of the soil microbiome. Nature Reviews Microbiology 15:579–590.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https://doi.org/10.1038/nrmicro.2017.87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Fierer N, Jackson RB (2006) The diversity and biogeography of soil bacterial communities. Proceedings of the National Academy of Sciences USA 103:626–631.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https://doi.org/10.1073/pnas.0507535103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Frostegård Å, Tunlid A, Bååth E (1991) Microbial biomass measured as total lipid phosphate in soils of different organic content. Journal of Microbiological Methods 14:151–163.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https://doi.org/10.1016/0167-7012(91)90030-V</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Shared protocol note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Garbeva P, van Veen JA, van Elsas JD (2004) Microbial diversity in soil: selection of microbial populations by plant and soil type and implications for disease suppressiveness. Annual Review of Phytopathology 42:243–270.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https://doi.org/10.1146/annurev.phyto.42.012604.135455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Giller KE, Witter E, McGrath SP (1998) Toxicity of heavy metals to microorganisms and microbial processes in agricultural soils: a review. Soil Biology and Biochemistry 30:1389–1414.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https://doi.org/10.1016/S0038-0717(97)00270-8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Haney RL, Haney EB, Smith DR, Harmel RD, White MJ (2018) The soil health tool — theory and initial broad-scale application. Applied Soil Ecology 125:162–168.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https://doi.org/10.1016/j.apsoil.2017.10.021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Levels 1 and 2; B2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Hartmann M, Frey B, Mayer J, Mäder P, Widmer F (2015) Distinct soil microbial diversity under long-term organic and conventional farming. ISME Journal 9:1177–1194.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https://doi.org/10.1038/ismej.2014.210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A7, B1, B2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Johnsen K, Jacobsen CS, Torsvik V, Sørensen J (2001) Pesticide effects on bacterial diversity in agricultural soils — a review. Biology and Fertility of Soils 33:443–453.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https://doi.org/10.1007/s003740000278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Lauber CL, Hamady M, Knight R, Fierer N (2009) Pyrosequencing-based assessment of soil pH as a predictor of soil bacterial community structure at the continental scale. Applied and Environmental Microbiology 75:5111–5120.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https://doi.org/10.1128/AEM.00335-09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Nannipieri P, Ascher J, Ceccherini MT, Landi L, Pietramellara G, Renella G (2003) Microbial diversity and soil functions. European Journal of Soil Science 54:655–670.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https://doi.org/10.1046/j.1351-0754.2003.0556.x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Spedding TA, Hamel C, Mehuys GR, Madramootoo CA (2004) Soil microbial dynamics in maize-growing soil under different tillage and residue management systems. Soil Biology and Biochemistry 36:499–512.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https://doi.org/10.1016/j.soilbio.2003.10.026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 B2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Torsvik V, Øvreås L (2002) Microbial diversity and function in soil: from genes to ecosystems. Current Opinion in Microbiology 5:240–245.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https://doi.org/10.1016/S1369-5274(02)00324-7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Vance ED, Brookes PC, Jenkinson DS (1987) An extraction method for measuring soil microbial biomass C. Soil Biology and Biochemistry 19:703–707.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https://doi.org/10.1016/0038-0717(87)90052-6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 (CFE method)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01 — Soil bacteria and microbial communities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01 — Soil bacteria and microbial communities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v1.0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A447221-4233-48B0-90D2-044DB7FD20B0}"/>
</file>

<file path=customXml/itemProps2.xml><?xml version="1.0" encoding="utf-8"?>
<ds:datastoreItem xmlns:ds="http://schemas.openxmlformats.org/officeDocument/2006/customXml" ds:itemID="{32473365-5F6E-4418-8531-88530F588B29}"/>
</file>

<file path=customXml/itemProps3.xml><?xml version="1.0" encoding="utf-8"?>
<ds:datastoreItem xmlns:ds="http://schemas.openxmlformats.org/officeDocument/2006/customXml" ds:itemID="{08B25896-CF6E-469B-AF97-F4772CFFACC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2026-04-11T22:48:02Z</dcterms:created>
  <dcterms:modified xsi:type="dcterms:W3CDTF">2026-04-11T22:48:02Z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