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5D4037"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w:t>
            </w:r>
          </w:p>
          <w:p>
            <w:pPr>
              <w:spacing w:after="80" w:before="0"/>
              <w:jc w:val="center"/>
            </w:pPr>
            <w:r>
              <w:rPr>
                <w:rFonts w:ascii="Arial" w:cs="Arial" w:eastAsia="Arial" w:hAnsi="Arial"/>
                <w:b/>
                <w:bCs/>
                <w:color w:val="FFFFFF"/>
                <w:sz w:val="28"/>
                <w:szCs w:val="28"/>
              </w:rPr>
              <w:t xml:space="preserve">Profile 03 — Nematodes</w:t>
            </w:r>
          </w:p>
          <w:p>
            <w:pPr>
              <w:spacing w:after="80" w:before="0"/>
              <w:jc w:val="center"/>
            </w:pPr>
            <w:r>
              <w:rPr>
                <w:rFonts w:ascii="Arial" w:cs="Arial" w:eastAsia="Arial" w:hAnsi="Arial"/>
                <w:b w:val="false"/>
                <w:bCs w:val="false"/>
                <w:color w:val="FFFFFF"/>
                <w:sz w:val="16"/>
                <w:szCs w:val="16"/>
              </w:rPr>
              <w:t xml:space="preserve">Category: Soil invertebrate communities  |  Tier: Universal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soil nematologists before platform deployment.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Level 1 — no community observer protocol available. The rationale given (body size below visual detection threshold) is correct. Reviewer should confirm whether any reliable Level 1 proxy protocol exists that is not currently included.</w:t>
            </w:r>
          </w:p>
          <w:p>
            <w:pPr>
              <w:spacing w:after="60" w:before="0"/>
              <w:jc w:val="left"/>
            </w:pPr>
            <w:r>
              <w:rPr>
                <w:rFonts w:ascii="Arial" w:cs="Arial" w:eastAsia="Arial" w:hAnsi="Arial"/>
                <w:b w:val="false"/>
                <w:bCs w:val="false"/>
                <w:color w:val="000000"/>
                <w:sz w:val="16"/>
                <w:szCs w:val="16"/>
              </w:rPr>
              <w:t xml:space="preserve">2. Maturity Index cp-value class assignments [~] — verify current standard cp-class assignments for common agricultural nematode genera against Bongers (1990) and subsequent refinements. Some genus assignments have been updated in the literature.</w:t>
            </w:r>
          </w:p>
          <w:p>
            <w:pPr>
              <w:spacing w:after="60" w:before="0"/>
              <w:jc w:val="left"/>
            </w:pPr>
            <w:r>
              <w:rPr>
                <w:rFonts w:ascii="Arial" w:cs="Arial" w:eastAsia="Arial" w:hAnsi="Arial"/>
                <w:b w:val="false"/>
                <w:bCs w:val="false"/>
                <w:color w:val="000000"/>
                <w:sz w:val="16"/>
                <w:szCs w:val="16"/>
              </w:rPr>
              <w:t xml:space="preserve">3. Plant parasitic nematode threshold values [~] — economic thresholds for plant parasitic nematode densities are highly crop-specific and soil-type dependent. Reviewer should confirm whether the general thresholds cited are appropriate for this profile's monitoring purpose or should be removed.</w:t>
            </w:r>
          </w:p>
          <w:p>
            <w:pPr>
              <w:spacing w:after="80" w:before="0"/>
              <w:jc w:val="left"/>
            </w:pPr>
            <w:r>
              <w:rPr>
                <w:rFonts w:ascii="Arial" w:cs="Arial" w:eastAsia="Arial" w:hAnsi="Arial"/>
                <w:b w:val="false"/>
                <w:bCs w:val="false"/>
                <w:color w:val="000000"/>
                <w:sz w:val="16"/>
                <w:szCs w:val="16"/>
              </w:rPr>
              <w:t xml:space="preserve">4. Extraction efficiency — Baermann funnel recovers active nematodes only; centrifugal flotation recovers all nematodes including dormant. Reviewer should confirm which method is specified as standard for the Ecdysis 1000 Farms protocol.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03</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Nematodes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Soil invertebrate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Universal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nematodes are the most abundant multicellular animals on Earth, present in virtually all agricultural soils globally regardless of biome, climate, or management system (van den Hoogen et al. 2019).</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None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Phylum: Nematoda. Unsegmented roundworms, 0.3–3mm in length — below the visual detection threshold without magnification. Five ecological feeding guilds are monitored collectively: (1) Bacterivores — feed on bacteria; sensitive to management change; low cp-values 1–2. (2) Fungivores — feed on fungal hyphae; associated with stable fungal-dominated systems; cp-values 2–3. (3) Plant parasites — feed on plant roots; indicators of crop stress and monoculture pressure; cp-values 2–3. (4) Omnivores — feed on multiple food sources; sensitive to disturbance; cp-values 4–5. (5) Predators — feed on other nematodes and soil invertebrates; most sensitive to disturbance; cp-values 4–5. Guild classification follows Yeates et al. (1993). Maturity Index cp-values follow Bongers (1990).</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Ecological indicator — nematode functional guild composition and community diversity indices are the most sensitive measurable indicators of soil food web structure, soil disturbance history, and the progression of biological recovery from degraded toward stable community states. Practice verification — the Enrichment Index and Structural Index provide quantitative evidence of whether management practices are building soil food web complexity.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Nematodes are the invisible intelligence of the soil food web — a single handful of healthy agricultural soil may contain thousands of individuals spanning five functional guilds, each tracking a different ecological process. Their community structure reads like a dial: turn the management toward intensive tillage and synthetic inputs, and the dial swings toward dominance by fast-cycling bacterivores in a depleted, bacterial-channel system. Turn it toward reduced tillage and organic matter inputs, and the dial swings toward omnivores and predators appearing — the hallmark of a recovering, structurally complex food web. No other group of organisms provides this level of food web diagnostic sensitivity at accessible cost.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Nematode faunal analysis — developed by Bongers (1990) and extended by Ferris et al. (2001) — converts a microscope count of nematodes into a quantitative assessment of soil food web health. The Maturity Index tells you how structurally complex the food web is; the Enrichment Index tells you whether the system is in a nutrient-enriched, disturbed state or a stable, structured state; the Structural Index tells you whether higher trophic levels have recovered. Together, these three numbers describe the trajectory of soil biological recovery more comprehensively than any other single indicator group at this taxonomic scale. The challenge is that this group genuinely requires microscopy — there is no community observer protocol for nematodes, and the template is transparent about this.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Fast–medium (Stage 2 from Year 1). Functional guild composition shifts are detectable within 1–3 growing seasons of management change. Full Maturity Index and Structural Index recovery requires 3–7 years of consistent improved management.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Fast (1–2 seasons): Bacterivore and fungivore guild ratios (Nematode Channel Ratio) shift measurably within 1–2 seasons of tillage cessation or organic amendment addition, reflecting the shift from bacterial-dominated toward more balanced soil energy channels (Ferris et al. 2001).</w:t>
            </w:r>
          </w:p>
          <w:p>
            <w:pPr>
              <w:spacing w:after="60" w:before="0"/>
              <w:jc w:val="left"/>
            </w:pPr>
            <w:r>
              <w:rPr>
                <w:rFonts w:ascii="Arial" w:cs="Arial" w:eastAsia="Arial" w:hAnsi="Arial"/>
                <w:b w:val="false"/>
                <w:bCs w:val="false"/>
                <w:color w:val="000000"/>
                <w:sz w:val="17"/>
                <w:szCs w:val="17"/>
              </w:rPr>
              <w:t xml:space="preserve">Medium (2–4 years): Plant parasite relative abundance declines measurably under diversified rotations and reduced monoculture over 2–4 years. Enrichment and Structural Index values begin to distinguish managed from recovering systems (Bongers &amp; Ferris 1999).</w:t>
            </w:r>
          </w:p>
          <w:p>
            <w:pPr>
              <w:spacing w:after="60" w:before="0"/>
              <w:jc w:val="left"/>
            </w:pPr>
            <w:r>
              <w:rPr>
                <w:rFonts w:ascii="Arial" w:cs="Arial" w:eastAsia="Arial" w:hAnsi="Arial"/>
                <w:b w:val="false"/>
                <w:bCs w:val="false"/>
                <w:color w:val="000000"/>
                <w:sz w:val="17"/>
                <w:szCs w:val="17"/>
              </w:rPr>
              <w:t xml:space="preserve">Slow (4–7 years): Omnivore and predator guilds (high cp-value taxa) recover measurably in soils under consistently improved management over 4–7 years. Maturity Index reaching above 2.0 [~] indicates genuine structural recovery of the soil food web (Bongers 1990).</w:t>
            </w:r>
          </w:p>
          <w:p>
            <w:pPr>
              <w:spacing w:after="80" w:before="0"/>
              <w:jc w:val="left"/>
            </w:pPr>
            <w:r>
              <w:rPr>
                <w:rFonts w:ascii="Arial" w:cs="Arial" w:eastAsia="Arial" w:hAnsi="Arial"/>
                <w:b w:val="false"/>
                <w:bCs w:val="false"/>
                <w:color w:val="000000"/>
                <w:sz w:val="16"/>
                <w:szCs w:val="16"/>
              </w:rPr>
              <w:t xml:space="preserve">[geo] Timescales are primarily from temperate European and North American agricultural systems. Tropical systems may show faster guild-level responses due to higher baseline metabolic rates.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Static content — validated by soil nematologists.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A1 — Block 4 pressures that negatively impact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 and evidence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Intensive tillage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Mechanical disruption of soil aggregates destroys the microhabitat structure of the nematode community, physically killing individuals and eliminating the pore network that provides refugia from predation and desiccation. Omnivore and predator guilds (high cp-value taxa) are most sensitive — they have K-selected life histories incompatible with frequent disturbance. Total nematode abundance declines immediately after tillage; community shifts to coloniser-dominated (cp 1–2) assemblages (van Capelle et al. 2012; Ferris et al. 2001).</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synthetic fertiliser application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nitrogen inputs stimulate bacterivore guilds through increased bacterial substrate while suppressing omnivore and predator guilds through community simplification. Enrichment Index increases (indicating enriched, disturbed state) and Structural Index declines (indicating food web simplification) — both are negative trends in terms of ecological stability (Ferris et al. 2001).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pesticide application (insecticides)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Many broad-spectrum insecticides have direct and indirect toxic effects on nematodes. Organophosphates and carbamates are particularly toxic. Non-target community impacts extend to all guilds including bacterivores and fungivores that are not the intended target (Neher 2001).</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Excessive nematicide application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Nematicides — fumigants and non-fumigant nematicides — are designed specifically to reduce plant parasitic nematode populations but eliminate all nematode guilds indiscriminately. Community recovery from nematicide application requires multiple seasons of recolonisation from untreated areas (Neher 2001).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10</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fumigation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Chemical fumigation eliminates the nematode community entirely. The recovery community that recolonises from soil margins is typically dominated by bacterivore colonisers (cp 1) — the most disturbance-tolerant guild. Recovery of the full five-guild community can take 3–5 years.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Monoculture / loss of crop diversity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Continuous monoculture consistently increases plant parasitic nematode relative abundance by providing continuous host root availability without rotation-induced population breaks. Monoculture also reduces food substrate diversity for fungivores and omnivores (Neher 2001; Bongers &amp; Ferris 1999).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14</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Removal of crop residues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Reduces the organic matter substrate sustaining bacterivore and fungivore food sources, simplifying the base of the food web and constraining recovery of higher trophic guilds.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A2 — Block 5 challenges this group signals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5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Challenge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Signal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biodiversity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Maturity Index (MI) is the most widely used quantitative indicator of soil biodiversity decline available through accessible biological monitoring. MI declining toward 1.0 [~] indicates a disturbed, species-poor, bacterivore-dominated community consistent with severe soil biodiversity loss (Bongers 1990; Bongers &amp; Ferris 1999).</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 outbreaks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Elevated plant parasitic nematode relative abundance and high plant parasite index (PPI) values signal increasing pest pressure on crop roots — a direct biological early warning of crop protection challenges from soil-dwelling plant parasites. The PPI responds within 1–2 seasons to management changes affecting plant parasite populations (Ferris et al. 2001).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fertility decline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bacterivore and fungivore diversity signals reduction in the microbial community turnover processes that mineralise nitrogen and phosphorus into plant-available forms — a functional signal of soil fertility decline independent of chemical measurements (Neher 2001).</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matter depletion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Nematode total abundance correlates positively with soil organic matter content — total nematode community decline signals reducing substrate availability, an early indicator of organic matter depletion before total SOC measurements show significant change (van den Hoogen et al. 2019).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structure degradation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Omnivore and predator guilds require intact soil aggregate microhabitat for feeding and reproduction. Their decline or absence directly signals soil structure degradation — loss of the pore network and aggregate stability that these structurally dependent species require (Ferris et al. 2001).</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quality regulation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Bacterivore nematodes are primary regulators of bacterial community size and turnover — their grazing stimulates bacterial metabolic activity and accelerates nutrient mineralisation. The nematode-mediated microbial loop is one of the primary mechanisms by which organic nitrogen is mineralised to plant-available forms in low-input agricultural systems (Neher 2001).</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Pest control services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Predatory nematodes provide biological control of plant parasitic nematodes and other soil invertebrate pests. Omnivorous nematodes regulate multiple soil food web components simultaneously. A structurally complex nematode community with active predator and omnivore guilds is a biological mechanism reducing plant parasitic nematode population outbreaks (Bongers &amp; Ferris 1999).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 provisioning services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Suppression of plant parasitic nematode populations through diverse, predator-active soil food webs directly supports crop yield stability by reducing root damage. Nematode-mediated nitrogen mineralisation contributes to plant nutrient availability in low-input systems (Neher 2001).</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Global climate regulation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Nematode-mediated regulation of microbial community size affects soil carbon turnover rates and greenhouse gas fluxes from agricultural soils. A structurally complex nematode community is associated with more stable carbon cycling compared to simplified bacterivore-dominated systems (van den Hoogen et al. 2019).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A4 — Relevant EFGs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EFG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Annual croplands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Primary deployment context — nematode community suppression and plant parasite accumulation under monoculture most severe; highest monitoring value.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Sown pastures and fields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permanent grassland supports more diverse and structurally complex nematode communities than arable systems; management-driven changes detectable.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Derived semi-natural grasslands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relevance — highest nematode community diversity and Maturity Index values in managed land use types.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T7.3</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Plantations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in orchard contexts where soil food web recovery under improved management is a programme goal.</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Universal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All terrestrial EFGs with soil</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Nematodes are present globally in all terrestrial soil types — universally relevant.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A5 — Relevant IPCC land use categories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IPCC Land Use Category</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Notes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Cropland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monitoring priority — plant parasite accumulation and community disturbance most severe under continuous arable management.</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Grassland</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 priority — community complexity and Maturity Index values most relevant for detecting improvement under grazing management change.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Forest Land (managed)</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Relevant in agroforestry systems where soil food web recovery is a programme goal.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A6 — Soil type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Soil Type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Sandy soils (Arenosols, Psammosols)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Lower total nematode abundance due to reduced water film continuity and lower organic substrate; community dominated by bacterivores. Plant parasites may be proportionally more numerous. Baermann funnel extraction is less effective in very dry sandy soils — use centrifugal flotation.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Clay-rich soils (Vertisols, Cambisols)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Higher total abundance and greater community diversity due to higher water retention, organic matter binding, and more complex aggregate microhabitat. More favourable for omnivore and predator guilds.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Organic-rich soils (Histosols)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Very high nematode abundance; fungivore guilds prominent due to high fungal substrate availability. Community diversity and Maturity Index typically high in undisturbed organic soils.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Waterlogged soils (Gleysols)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Reduced abundance and diversity under anaerobic conditions; community shifts toward anaerobic-tolerant bacterivore specialists. Sampling only meaningful in aerobic soil layers.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A7 — Crop and livestock associations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Association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Description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Continuous cereal monoculture (wheat, maize, rice)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plant parasitic nematode pressure — particularly Pratylenchus, Heterodera, and Meloidogyne species in continuously cropped systems. Plant parasite index (PPI) elevated in continuous cereal systems. Rotation break crops are the primary management tool for reducing plant parasite accumulation.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Legume-cereal rotations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Reduced plant parasite pressure in subsequent cereal crops; increased fungivore diversity associated with legume root architecture and exudate diversity. Monitoring in rotation systems should note crop sequence for interpretation.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Permanent pasture (mixed grass-forb)</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Highest community diversity and Maturity Index values — omnivore and predator guilds well-established. Plant parasite pressure lower than in annual systems due to mixed host root architecture.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 (→ ILM col 28)</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E8F8F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Abiotic indicators that are the earliest measurable signals that soil conditions are improving for nematode community recovery.</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organic carbon (SOC)</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Total nematode abundance is positively correlated with SOC across land management systems at continental scales (van den Hoogen et al. 2019). SOC improvement under organic amendment addition and reduced tillage is typically measurable 1–2 seasons before detectable nematode community changes, making it the primary leading abiotic indicator for nematode trajectory.</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A04</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Wet aggregate stability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The pore microhabitat structure that wet aggregate stability reflects is the physical habitat supporting omnivore and predator nematode guilds. Improving aggregate stability precedes omnivore and predator guild recovery by 1–2 seasons under no-till and organic input management (Ferris et al. 2001).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A08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Soil pH</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Nematode community composition is influenced by pH — community diversity declines at very low pH (&lt; 5.0). pH recovery above 5.5 [~] under reduced acid fertiliser inputs precedes bacterivore diversity increases. The effect is less direct than for bacteria or earthworms but pH stabilisation remains a relevant enabling abiotic condition (Neher 2001). [geo]</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B — PRACTICE CONNECTIONS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B1 — Practices that benefit this group</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P02</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Maintain permanent soil cover</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Permanent plant cover sustains the continuous root exudate and microbial substrate supply that supports the bacterivore and fungivore base of the nematode food web, preventing collapse during bare soil periods.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P08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Diversified crop rotation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Rotation breaks plant parasite accumulation cycles by interrupting host plant continuity for specialist root feeders. Diverse rotations including non-host crops for key parasitic genera are the primary agronomic tool for plant parasite management (Neher 2001).</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P25</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Green manure incorporation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Decomposing green manure stimulates bacterivore populations through bacterial substrate addition and promotes fungivore populations through the fungal decomposer community that establishes on decomposing material.</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P10</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Agroforestry integration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Tree root systems support diverse fungivore and omnivore communities through mycorrhizal hyphal networks and complex root architecture. Agroforestry systems consistently support higher Maturity Index values than open arable monocultures.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B2 — Practices this group primarily verifies (→ ILM col 19 + col 29)</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300"/>
        <w:gridCol w:w="3000"/>
        <w:gridCol w:w="31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P-code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Practice Name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Causal mechanism verified</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direction and timescale (ILM col 29)</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Reduce or eliminate tillage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Omnivore and predator guild recovery is the most ecologically significant and interpretable biological verification signal for tillage cessation. High cp-value taxa (cp 4–5) are eliminated by tillage and re-establish only under consistent no-disturbance conditions (Ferris et al. 2001; Bongers &amp; Ferris 1999).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Nematode Channel Ratio shifts toward more balanced bacterial:fungal channels within 1–2 seasons; omnivore and predator guilds (cp 4–5) detectable within 2–4 years; Maturity Index increases progressively from Year 2–3 of consistent no-till.</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P08</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Diversified crop rotation</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Plant parasite index (PPI) decline is the primary biological verification signal for rotation practice. The ratio of plant parasites to total nematodes declines measurably within 1–2 rotations of introducing non-host break crops (Neher 2001).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Plant parasitic nematode relative abundance declines measurably within 1–3 years of rotation introduction; plant parasite index below 20% of community [~] is the target trajectory for effective rotation management.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P39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Increase soil organic carbon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Total nematode abundance and bacterivore guild diversity increase as organic carbon substrate accumulation supports a richer microbial base. The Enrichment Index — which tracks substrate enrichment and bacterial community stimulation — is the most responsive nematode community metric to organic matter input increases (Ferris et al. 2001).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5"/>
                <w:szCs w:val="15"/>
              </w:rPr>
              <w:t xml:space="preserve">Enrichment Index increases within 1–2 seasons of organic amendment addition, signalling active substrate enrichment and microbial community stimulation; this is followed by Structural Index increase over 3–5 years as higher trophic guilds recover.</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C — INDICATOR GROUP INTERACTIONS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Connected Group</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Direction</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Ecological 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01 — Soil bacteria</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Bacterivore nematodes regulate bacterial community size and turnover through grazing — stimulating bacterial metabolic activity and nutrient mineralisation. Bacterial community health (Profile 01) directly determines bacterivore nematode food resource quantity and quality. Both respond to the same management pressures and their trajectories are closely linked.</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06 — Earthworms</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Mutually interdependent</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Earthworm burrow walls and casts concentrate bacterivore and fungivore nematode populations — cast material shows nematode densities 2–5× higher than surrounding bulk soil. Earthworm and nematode community health are mutually supporting and respond to the same management improvements.</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05 — Oribatid mites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This group supports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Predatory nematodes are prey for predacious oribatid mites in the soil food web. High predator nematode abundance signals a structurally complex food web that supports diverse oribatid mite communities. The joint recovery of these two groups confirms genuine structural food web recovery, not artefactual community shift.</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Dynamic content — validated by soil nematologists and field monitoring specialists.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888888" w:sz="1"/>
              <w:left w:val="single" w:color="888888" w:sz="1"/>
              <w:bottom w:val="single" w:color="888888" w:sz="1"/>
              <w:right w:val="single" w:color="888888" w:sz="1"/>
            </w:tcBorders>
            <w:shd w:fill="888888"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No protocol available at this capacity level — see rationale below.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available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Rationale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Nematodes range from 0.3mm to 3mm in body length — below the visual detection threshold without magnification. No reliable community observer protocol exists for nematode monitoring that does not require microscopy. Field-based proxy assessments (e.g. root gall scoring for Meloidogyne species) can indicate plant parasitic nematode pressure for specific host-parasite combinations, but do not provide information on beneficial guild composition — the primary land health monitoring value of this profile.</w:t>
            </w:r>
          </w:p>
          <w:p>
            <w:pPr>
              <w:spacing w:after="60" w:before="0"/>
              <w:jc w:val="left"/>
            </w:pPr>
            <w:r>
              <w:rPr>
                <w:rFonts w:ascii="Arial" w:cs="Arial" w:eastAsia="Arial" w:hAnsi="Arial"/>
                <w:b w:val="false"/>
                <w:bCs w:val="false"/>
                <w:color w:val="000000"/>
                <w:sz w:val="17"/>
                <w:szCs w:val="17"/>
              </w:rPr>
              <w:t xml:space="preserve">Where a farming programme includes users operating at Level 1 only, nematode monitoring should be deferred to Level 2 once a trained field technician is available, or excluded from the programme with a note in the master document explaining the capacity limitation. The out-of-scope list generated by the Step 4 capacity fitting algorithm will handle this automatically.</w:t>
            </w:r>
          </w:p>
          <w:p>
            <w:pPr>
              <w:spacing w:after="80" w:before="0"/>
              <w:jc w:val="left"/>
            </w:pPr>
            <w:r>
              <w:rPr>
                <w:rFonts w:ascii="Arial" w:cs="Arial" w:eastAsia="Arial" w:hAnsi="Arial"/>
                <w:b w:val="false"/>
                <w:bCs w:val="false"/>
                <w:color w:val="000000"/>
                <w:sz w:val="16"/>
                <w:szCs w:val="16"/>
              </w:rPr>
              <w:t xml:space="preserve">Do not substitute proxy crop health observations for nematode community monitoring — these are different measurement targets with different ecological interpretations.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Baermann funnel extraction — active nematode isolation from soil samples without centrifugation. Functional guild classification under compound microscope. Produces guild-level counts sufficient for Nematode Channel Ratio and plant parasite index.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Baermann funnel extraction and guild-level microscopic classification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Active nematode community: total abundance and proportional representation of five feeding guilds (bacterivores, fungivores, plant parasites, omnivores, predators). Produces Nematode Channel Ratio (NCR) and plant parasite index (PPI). Does not capture dormant nematodes — population estimates are lower than centrifugal flotation but the method is consistent and field-operable.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Field: Collect a composite soil sample from 0–20cm depth — minimum 8 sub-samples per monitoring site, mixed thoroughly in a clean bucket. Remove 200g (fresh weight) for nematode extraction immediately or refrigerate (4°C) for extraction within 48 hours.</w:t>
            </w:r>
          </w:p>
          <w:p>
            <w:pPr>
              <w:spacing w:after="40" w:before="0"/>
              <w:jc w:val="left"/>
            </w:pPr>
            <w:r>
              <w:rPr>
                <w:rFonts w:ascii="Arial" w:cs="Arial" w:eastAsia="Arial" w:hAnsi="Arial"/>
                <w:b w:val="false"/>
                <w:bCs w:val="false"/>
                <w:color w:val="000000"/>
                <w:sz w:val="17"/>
                <w:szCs w:val="17"/>
              </w:rPr>
              <w:t xml:space="preserve">Baermann funnel setup: Place soil sample wrapped in double-layer fine muslin cloth (or two layers of paper tissue) in a glass funnel connected to a rubber tube with a clamp. Fill funnel with water to cover the soil. Allow to stand at room temperature (18–22°C) for 24–48 hours — active nematodes move out of soil and into water through gravity.</w:t>
            </w:r>
          </w:p>
          <w:p>
            <w:pPr>
              <w:spacing w:after="40" w:before="0"/>
              <w:jc w:val="left"/>
            </w:pPr>
            <w:r>
              <w:rPr>
                <w:rFonts w:ascii="Arial" w:cs="Arial" w:eastAsia="Arial" w:hAnsi="Arial"/>
                <w:b w:val="false"/>
                <w:bCs w:val="false"/>
                <w:color w:val="000000"/>
                <w:sz w:val="17"/>
                <w:szCs w:val="17"/>
              </w:rPr>
              <w:t xml:space="preserve">Collection: Release clamp and collect the first 10–15ml of water from the bottom of the funnel into a centrifuge tube. Centrifuge at 800g for 3 minutes, discard supernatant, resuspend pellet in 1ml water.</w:t>
            </w:r>
          </w:p>
          <w:p>
            <w:pPr>
              <w:spacing w:after="80" w:before="0"/>
              <w:jc w:val="left"/>
            </w:pPr>
            <w:r>
              <w:rPr>
                <w:rFonts w:ascii="Arial" w:cs="Arial" w:eastAsia="Arial" w:hAnsi="Arial"/>
                <w:b w:val="false"/>
                <w:bCs w:val="false"/>
                <w:color w:val="000000"/>
                <w:sz w:val="17"/>
                <w:szCs w:val="17"/>
              </w:rPr>
              <w:t xml:space="preserve">Counting and classification: Place 0.1ml of suspension in a counting chamber (McMaster or Hawksley). Under compound microscope at 100–200× magnification, count all nematodes. Classify each individual to feeding guild using body form, head shape, and stylet presence: bacterivores (small, slender, no stylet); fungivores (longer stylet, medium body); plant parasites (robust stylet, often sedentary); omnivores (large, dorsally curved); predators (large, wide oral opening with teeth or armed stoma). Minimum 50 individuals classified per sample for guild ratios to be interpretable.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Glass Baermann funnels (one per sample); rubber tubing and clamps; fine muslin or paper tissue; compound microscope (100–200×); McMaster or Hawksley counting chamber; centrifuge (800g minimum); pipettes; field datasheet; field balance.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compound microscopy experience and supervised training in nematode guild identification (minimum 4 hours supervised microscopy practice with reference slides). Guild-level classification is accessible to a trained technician; species-level identification requires a nematologist.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 when soil moisture is adequate for active nematode movement and microbial activity is increasing. Avoids dry summer periods when nematodes become dormant and Baermann efficiency falls. Record soil temperature and moisture at sampling.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 after first autumn rains restore soil moisture. Same-season results compared across years only.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20–30 minutes field collection per site. Laboratory: 24–48 hours extraction; 30–60 minutes microscopy per sample.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 spring primary window for annual comparability.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 for trend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 consecutive same-season surveys. Guild ratio shifts detectable from Year 2; Maturity Index trends require 4–5 years.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nematode count (individuals/100g dry soil); guild proportions (% bacterivore, fungivore, plant parasite, omnivore, predator); Nematode Channel Ratio (NCR = bacterivores / (bacterivores + fungivores) — range 0–1; lower values indicate fungal-dominated, more stable system); Plant Parasite Index (PPI = plant parasites / total nematodes × 100 — % of community).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Setup shot: photograph Baermann funnel setup with sample in place and water level visible. (2) Counting chamber shot: photograph the eyepiece view of the counting chamber at 100× showing nematodes in situ — retain as reference record. (3) Field context shot: photograph each sampling point showing soil surface condition.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Common identification errors — Level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applicable — no Level 1 protocol exists for this profile.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NCR declining toward 0.5 or below [~] over consecutive seasons: food web shifting from bacterially-dominated (disturbed) toward more balanced or fungal-influenced system — positive trajectory under reduced tillage and organic inputs. Connect to Practice P01 (no-till) verification.</w:t>
            </w:r>
          </w:p>
          <w:p>
            <w:pPr>
              <w:spacing w:after="50" w:before="0"/>
              <w:jc w:val="left"/>
            </w:pPr>
            <w:r>
              <w:rPr>
                <w:rFonts w:ascii="Arial" w:cs="Arial" w:eastAsia="Arial" w:hAnsi="Arial"/>
                <w:b w:val="false"/>
                <w:bCs w:val="false"/>
                <w:color w:val="000000"/>
                <w:sz w:val="17"/>
                <w:szCs w:val="17"/>
              </w:rPr>
              <w:t xml:space="preserve">PPI declining below 20% [~] over 2–3 seasons of rotation introduction: plant parasite suppression from rotation management — positive verification evidence for P08. Connect to Challenge #25 (Pest outbreaks) in field card narrative.</w:t>
            </w:r>
          </w:p>
          <w:p>
            <w:pPr>
              <w:spacing w:after="80" w:before="0"/>
              <w:jc w:val="left"/>
            </w:pPr>
            <w:r>
              <w:rPr>
                <w:rFonts w:ascii="Arial" w:cs="Arial" w:eastAsia="Arial" w:hAnsi="Arial"/>
                <w:b w:val="false"/>
                <w:bCs w:val="false"/>
                <w:color w:val="000000"/>
                <w:sz w:val="16"/>
                <w:szCs w:val="16"/>
              </w:rPr>
              <w:t xml:space="preserve">Total abundance declining despite improved management: investigate A8 precursors — low SOC (A01) limits the microbial base supporting bacterivores. Check soil moisture at sampling (dry soil significantly underestimates abundance using Baermann funnel). Consider upgrading to centrifugal flotation for improved extraction efficiency.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Low risk. Standard laboratory hygiene when handling soil samples. Dispose of extracted water and nematode suspension according to local regulations — do not release into watercourses. Wear gloves when handling soil from areas with known pathogen contamination.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Baermann funnel protocol following Ecdysis 1000 Farms soil nematode sampling standard; guild classification following Yeates et al. (1993); NCR and PPI indices following Ferris et al. (2001).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https://ecdysis.bio/1000-farms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 with laboratory access</w:t>
            </w:r>
          </w:p>
          <w:p>
            <w:pPr>
              <w:spacing w:after="80" w:before="0"/>
              <w:jc w:val="left"/>
            </w:pPr>
            <w:r>
              <w:rPr>
                <w:rFonts w:ascii="Arial" w:cs="Arial" w:eastAsia="Arial" w:hAnsi="Arial"/>
                <w:b w:val="false"/>
                <w:bCs w:val="false"/>
                <w:color w:val="FFFFFF"/>
                <w:sz w:val="16"/>
                <w:szCs w:val="16"/>
              </w:rPr>
              <w:t xml:space="preserve">Centrifugal flotation extraction plus full nematode community analysis — species-level identification enabling calculation of Maturity Index, Enrichment Index, and Structural Index for complete soil food web diagnostic.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Centrifugal flotation extraction with full nematode faunal analysis — Maturity Index, Enrichment Index, Structural Index</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Complete nematode community composition at species or genus level, enabling calculation of: Maturity Index (MI — weighted mean cp-value of free-living nematodes); Enrichment Index (EI — indicates nutrient-enriched, disturbed system vs stable system); Structural Index (SI — indicates presence of higher trophic levels and food web complexity); Channel Index (CI — bacterial vs fungal energy channel dominance). Together these four indices provide a complete soil food web diagnostic (Ferris et al. 2001).</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Field: same composite sampling as Level 2. Laboratory: centrifugal flotation — soil suspended in water, centrifuged at 1000g for 5 minutes, supernatant poured through 25μm sieve, nematodes concentrated and counted. Fix 1ml of suspension in 4% formalin for permanent microscopy. Identify minimum 100–150 individuals per sample to genus or species level using compound microscope at 400× magnification. Assign cp-values from Bongers (1990) table and calculate four indices from the Ferris et al. (2001) framework.</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High-speed centrifuge (1000g minimum); 25μm sieve; 4% formalin; compound microscope (400×); identification key (Bongers 1988 or equivalent regional key); calculation spreadsheet for MI, EI, SI, CI (freely available from UC Davis Ferris lab).</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Soil nematologist or experienced invertebrate ecologist with trained nematode identification skill. Species-level identification to calculate valid MI requires specialist taxonomy training — minimum 6 months supervised identification practice.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Spring — same as Level 2. Centrifugal flotation is effective across a wider moisture range than Baermann funnel.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secondary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Autumn — particularly useful for detecting plant parasite population peaks post-growing season.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30 minutes field sampling. Laboratory: 1 hour extraction per batch; 2–3 hours microscopy per sample at species level.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(spring primary window). 2 visits recommended (spring and autumn) for full seasonal community characterisation.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 for trend detection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Maturity Index and Structural Index trends to be interpretable with statistical confidence.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Maturity Index (MI) — range 1–5; values above 2.5 [~] indicate structurally recovering food web; Enrichment Index (EI) — range 0–100; declining EI indicates transition from enriched-disturbed to stable state; Structural Index (SI) — range 0–100; increasing SI confirms higher trophic level recovery; Channel Index (CI) — declining CI indicates shift toward fungal energy channel dominance under no-till.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Microscopy reference shots: photograph identified individuals of key guild representatives at 400× for reviewer documentation and training materials. (2) Field sampling shots: as per Level 2.</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Interpretation guide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50" w:before="0"/>
              <w:jc w:val="left"/>
            </w:pPr>
            <w:r>
              <w:rPr>
                <w:rFonts w:ascii="Arial" w:cs="Arial" w:eastAsia="Arial" w:hAnsi="Arial"/>
                <w:b w:val="false"/>
                <w:bCs w:val="false"/>
                <w:color w:val="000000"/>
                <w:sz w:val="17"/>
                <w:szCs w:val="17"/>
              </w:rPr>
              <w:t xml:space="preserve">EI high (&gt;70), SI low (&lt;30) [~]: degraded, enriched, disturbed system — typical of intensively managed arable. EI declining and SI increasing over 4+ years of improved management: clear trajectory toward stable structured food web. This transition is the definitive biological confirmation of soil biological recovery (Ferris et al. 2001).</w:t>
            </w:r>
          </w:p>
          <w:p>
            <w:pPr>
              <w:spacing w:after="80" w:before="0"/>
              <w:jc w:val="left"/>
            </w:pPr>
            <w:r>
              <w:rPr>
                <w:rFonts w:ascii="Arial" w:cs="Arial" w:eastAsia="Arial" w:hAnsi="Arial"/>
                <w:b w:val="false"/>
                <w:bCs w:val="false"/>
                <w:color w:val="000000"/>
                <w:sz w:val="16"/>
                <w:szCs w:val="16"/>
              </w:rPr>
              <w:t xml:space="preserve">MI increasing from &lt;1.5 toward &gt;2.5 [~] over 5 years: structural recovery of the free-living nematode community confirmed. Most important long-term trend indicator for Practice P01 (no-till) verification and broader soil health recovery confirmation.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4% formalin for fixation — handle in fume hood, gloves, and eye protection. Standard histology laboratory safety applies.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Bongers T (1990) Maturity Index. Ferris H, Bongers T, de Goede RGM (2001) Enrichment, Structural and Channel Indices. Yeates GW et al. (1993) guild classification — see References.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Reference link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https://doi.org/10.1016/S0929-1393(01)00063-1</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E8F0E5"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6"/>
                <w:szCs w:val="16"/>
              </w:rPr>
              <w:t xml:space="preserve">All sources cited in this profile. 3-column format: citation / DOI or ISBN / section cited in.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Bongers T (1988) De nematoden van Nederland. Pirola, Schoorl. (Dutch nematode identification key — primary reference for genus-level identification in temperate European soils.)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ISBN 9789065561428 (out of print — contact NMV for copies)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Protocol Level 3 [geo — temperate European]</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Bongers T (1990) The maturity index: an ecological measure of environmental disturbance based on nematode species composition. Oecologia 83:14–19.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https://doi.org/10.1007/BF00324627</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Identity block; Response timescale; A2; Protocol Level 3; Interpretation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Bongers T, Ferris H (1999) Nematode community structure as a bioindicator in environmental monitoring. Trends in Ecology and Evolution 14:224–228.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https://doi.org/10.1016/S0169-5347(98)01583-3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Ecological rationale; A1; A2; B2; Protocol Level 3</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Ferris H, Bongers T, de Goede RGM (2001) A framework for soil food web diagnostics: extension of the nematode faunal analysis concept. Applied Soil Ecology 18:13–29.</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https://doi.org/10.1016/S0929-1393(01)00063-1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Ecological rationale; A1; A2; B2; Protocol Levels 2 and 3; Interpretation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Neher DA (2001) Role of nematodes in soil health and their use as indicators. Journal of Nematology 33:161–168.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https://www.ncbi.nlm.nih.gov/pmc/articles/PMC2638083/</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A2; A3; A7; B1; Response timescale</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van Capelle C, Schrader S, Brunotte J (2012) Tillage-induced changes in the functional diversity of soil biota — a review with a focus on German data. European Journal of Soil Biology 50:165–181.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https://doi.org/10.1016/j.ejsobi.2012.02.005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Response timescale</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van den Hoogen J, Geisen S, Routh D, Ferris H, Traunspurger W, Wardle DA, et al. (2019) Soil nematode abundance and functional group composition at a global scale. Nature 572:194–198.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https://doi.org/10.1038/s41586-019-1418-6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Identity block; A2; A3; A8</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Yeates GW, Bongers T, de Goede RGM, Freckman DW, Georgieva SS (1993) Feeding habits in soil nematode families and genera — an outline for soil ecologists. Journal of Nematology 25:315–331.</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https://www.ncbi.nlm.nih.gov/pmc/articles/PMC2619405/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Identity block (guild classification); Protocol Level 2</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03 — Nematodes</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5D4037" w:sz="3"/>
          </w:tcBorders>
          <w:tcMar>
            <w:bottom w:type="dxa" w:w="60"/>
          </w:tcMar>
        </w:tcPr>
        <w:p>
          <w:pPr>
            <w:spacing w:after="80" w:before="0"/>
            <w:jc w:val="left"/>
          </w:pPr>
          <w:r>
            <w:rPr>
              <w:rFonts w:ascii="Arial" w:cs="Arial" w:eastAsia="Arial" w:hAnsi="Arial"/>
              <w:b w:val="false"/>
              <w:bCs w:val="false"/>
              <w:color w:val="5D4037"/>
              <w:sz w:val="15"/>
              <w:szCs w:val="15"/>
            </w:rPr>
            <w:t xml:space="preserve">LAHMP — Profile 03 — Nematodes</w:t>
          </w:r>
        </w:p>
      </w:tc>
      <w:tc>
        <w:tcPr>
          <w:tcBorders>
            <w:bottom w:val="single" w:color="5D4037"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5594AB1-81C9-4FD2-9DD3-4E9DC336C0D8}"/>
</file>

<file path=customXml/itemProps2.xml><?xml version="1.0" encoding="utf-8"?>
<ds:datastoreItem xmlns:ds="http://schemas.openxmlformats.org/officeDocument/2006/customXml" ds:itemID="{33279C4C-B41F-4C9F-98EB-4AD07DD61C67}"/>
</file>

<file path=customXml/itemProps3.xml><?xml version="1.0" encoding="utf-8"?>
<ds:datastoreItem xmlns:ds="http://schemas.openxmlformats.org/officeDocument/2006/customXml" ds:itemID="{EF516741-771A-495A-9C10-72A2578EBC2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2026-04-12T08:46:48Z</dcterms:created>
  <dcterms:modified xsi:type="dcterms:W3CDTF">2026-04-12T08:46:48Z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