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6"/>
                <w:szCs w:val="26"/>
              </w:rPr>
              <w:t xml:space="preserve">Profile 07 — Terrestrial snails and slugs</w:t>
            </w:r>
          </w:p>
          <w:p>
            <w:pPr>
              <w:spacing w:after="80" w:before="0"/>
              <w:jc w:val="center"/>
            </w:pPr>
            <w:r>
              <w:rPr>
                <w:rFonts w:ascii="Arial" w:cs="Arial" w:eastAsia="Arial" w:hAnsi="Arial"/>
                <w:b w:val="false"/>
                <w:bCs w:val="false"/>
                <w:color w:val="FFFFFF"/>
                <w:sz w:val="16"/>
                <w:szCs w:val="16"/>
              </w:rPr>
              <w:t xml:space="preserve">Category: Soil invertebrate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malacologists and soil invertebrate 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Dual monitoring context — this profile monitors gastropods both as biodiversity indicators (soil health, calcium availability, habitat quality) and as potential crop pest indicators (slug species in arable contexts). Reviewer should confirm whether the dual-use framing is appropriate or whether the biodiversity and pest monitoring aspects should be separated.</w:t>
            </w:r>
          </w:p>
          <w:p>
            <w:pPr>
              <w:spacing w:after="60" w:before="0"/>
              <w:jc w:val="left"/>
            </w:pPr>
            <w:r>
              <w:rPr>
                <w:rFonts w:ascii="Arial" w:cs="Arial" w:eastAsia="Arial" w:hAnsi="Arial"/>
                <w:b w:val="false"/>
                <w:bCs w:val="false"/>
                <w:color w:val="000000"/>
                <w:sz w:val="16"/>
                <w:szCs w:val="16"/>
              </w:rPr>
              <w:t xml:space="preserve">2. Slug identification challenges — slugs are notoriously difficult to identify to species level even for specialists, and many individuals cannot be identified without dissection. Reviewer should confirm whether the simplified three-guild field classification described (soil-dwelling / surface-active / arboreal) is achievable for a trained technician without specialist malacology training, and whether 'colour form' is an adequate field proxy for genus-level slug classification.</w:t>
            </w:r>
          </w:p>
          <w:p>
            <w:pPr>
              <w:spacing w:after="60" w:before="0"/>
              <w:jc w:val="left"/>
            </w:pPr>
            <w:r>
              <w:rPr>
                <w:rFonts w:ascii="Arial" w:cs="Arial" w:eastAsia="Arial" w:hAnsi="Arial"/>
                <w:b w:val="false"/>
                <w:bCs w:val="false"/>
                <w:color w:val="000000"/>
                <w:sz w:val="16"/>
                <w:szCs w:val="16"/>
              </w:rPr>
              <w:t xml:space="preserve">3. Refuge trap standardisation — the tile/cardboard refuge trap protocol described at Level 2 requires standardisation of trap size, wetness, and placement conditions. Reviewer should confirm whether the protocol is adequately standardised for repeatable quantitative comparison across years.</w:t>
            </w:r>
          </w:p>
          <w:p>
            <w:pPr>
              <w:spacing w:after="80" w:before="0"/>
              <w:jc w:val="left"/>
            </w:pPr>
            <w:r>
              <w:rPr>
                <w:rFonts w:ascii="Arial" w:cs="Arial" w:eastAsia="Arial" w:hAnsi="Arial"/>
                <w:b w:val="false"/>
                <w:bCs w:val="false"/>
                <w:color w:val="000000"/>
                <w:sz w:val="16"/>
                <w:szCs w:val="16"/>
              </w:rPr>
              <w:t xml:space="preserve">4. Iron phosphate vs metaldehyde molluscicide distinction — the profile references both chemicals as pressures but notes their different ecological profiles. Reviewer should confirm whether this distinction is relevant enough to warrant monitoring note flags in the molluscicide pressure description.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07</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Terrestrial snails and slugs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invertebrate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terrestrial gastropods are present in virtually all agricultural soils globally. Absent only from extremely arid or frozen soils where moisture conditions are permanently below their physiological tolerance.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Class: Gastropoda; Subclass: Pulmonata. Two main monitored groups: Snails (shelled Pulmonata) — Helicidae, Hygromiidae, Clausiliidae, Succineidae and allied families. Shell present and used for identification. Slugs (shell absent or greatly reduced internally) — Arionidae, Limacidae, Milacidae, Agriolimacidae. Three ecological guilds monitored collectively: (1) Soil-dwelling — living primarily in the soil, feeding on dead organic matter, fungi, and roots; key soil health indicators (e.g. Cecilioides acicula, Oxychilus spp.); (2) Surface-active — living and feeding at the soil surface and on vegetation; the most commonly encountered guild; includes most pest slug species (Deroceras reticulatum, Arion species); (3) Arboreal — living on vegetation above ground; snail species; indicators of hedgerow and scrub quality.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gastropod species richness, guild diversity, and the presence of snail species dependent on calcium-rich soils (shell-forming species) are indicators of soil pH buffering capacity, organic matter availability, and habitat quality. Pest management indicator — slug species abundance in arable crops provides an early warning signal for crop protection decisions in arable systems.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Snails and slugs occupy an underappreciated ecological position: they are among the most important decomposers of surface organic matter in temperate agricultural landscapes, and they are the primary prey of thrushes, hedgehogs, ground beetles, and many other farmland predators. Their diversity — particularly the diversity of snail species, which is strongly limited by soil calcium availability — tells you about the long-term soil chemistry and habitat quality of the monitoring area in a way that chemical measurements alone cannot. And in arable systems, their abundance tells you something practically important: whether the crop is under pest pressure from the guild of surface-active slugs, and whether molluscicide use can be justified or reduced.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The gastropod monitoring story is partly about biodiversity and partly about pest management — and this dual relevance is one of the profile's strengths. A farmer who finds diverse snail species in their field margins alongside abundant soil-dwelling slugs in the soil fauna extract has received two pieces of useful information simultaneously: the habitat quality is good (diverse snails), and the pest risk is worth quantifying (slug abundance in arable soil). The tension between these two signals — protecting biodiversity while managing pest pressure — is at the heart of integrated pest management in wet arable systems, and monitoring provides the evidence base for moving away from routine molluscicide use toward targeted application.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Fast–medium (Stage 2 from Year 1). Gastropod community composition responds within 1–3 seasons of management change. Species richness recovery in degraded sites requires 3–7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Abundance changes in surface-active slug guilds respond within 1–2 seasons of molluscicide cessation or organic matter input increase. Refuge trap counts show measurable change within a single growing season of management change (Speiser et al. 2001).</w:t>
            </w:r>
          </w:p>
          <w:p>
            <w:pPr>
              <w:spacing w:after="60" w:before="0"/>
              <w:jc w:val="left"/>
            </w:pPr>
            <w:r>
              <w:rPr>
                <w:rFonts w:ascii="Arial" w:cs="Arial" w:eastAsia="Arial" w:hAnsi="Arial"/>
                <w:b w:val="false"/>
                <w:bCs w:val="false"/>
                <w:color w:val="000000"/>
                <w:sz w:val="17"/>
                <w:szCs w:val="17"/>
              </w:rPr>
              <w:t xml:space="preserve">Medium (2–5 years): Snail species richness recovery under improved habitat conditions — particularly in field margins and hedgerow bases — requires 2–5 years of consistent management. Calcium-rich soil conditions enabling diverse snail communities develop more slowly than organic matter conditions (Müller et al. 2020).</w:t>
            </w:r>
          </w:p>
          <w:p>
            <w:pPr>
              <w:spacing w:after="80" w:before="0"/>
              <w:jc w:val="left"/>
            </w:pPr>
            <w:r>
              <w:rPr>
                <w:rFonts w:ascii="Arial" w:cs="Arial" w:eastAsia="Arial" w:hAnsi="Arial"/>
                <w:b w:val="false"/>
                <w:bCs w:val="false"/>
                <w:color w:val="000000"/>
                <w:sz w:val="16"/>
                <w:szCs w:val="16"/>
              </w:rPr>
              <w:t xml:space="preserve">[geo] Response timescales from temperate European agricultural systems. Tropical gastropod communities differ substantially in taxonomy and ecology.</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malacologists.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molluscicide application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Metaldehyde-based slug pellets cause direct mortality in both target pest species and non-target snail species. Metaldehyde affects the central nervous system of all pulmonate gastropods regardless of feeding guild — decomposer snail species are killed indiscriminately alongside pest slugs. Iron phosphate-based pellets are less broadly toxic but also have non-target effects on soil-dwelling decomposer species at high application rates (Barker 2004; Speiser et al. 2001). Repeated molluscicide use progressively impoverishes the snail community across all guilds.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Mechanical tillage destroys the egg masses of soil-dwelling slug and snail species, physically kills individuals, and eliminates the surface organic matter layer that sustains the surface-active guild. Recovery of soil-dwelling species following deep tillage requires multiple seasons of recolonisation from untilled margins (Barker 2004).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Removal of crop residues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Surface crop residues and field margin litter provide the primary food substrate and moisture refuge for the surface-active guild. Residue removal reduces population density and drives gastropod communities toward the soil-dwelling guild at the expense of surface diversity.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compaction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Compaction restricts movement of soil-dwelling gastropods through the mineral soil and reduces the water-film connectivity that allows gastropod activity. Compacted soils support lower gastropod diversity and abundance (Müller et al. 2020).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application — soil acidification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Long-term nitrogen fertilisation progressively acidifies soil, reducing calcium availability. Snails require dissolved calcium for shell formation — their diversity declines sharply below soil pH 5.5 [~] as calcium availability falls below the threshold for adequate shell formation (Wäreborn 1970; Waldén 1981).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fungicide application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Fungicide applications reduce the diversity of soil fungi and decomposing plant material that constitutes the food resource for decomposer gastropods. Repeated fungicide use impoverishes the food base of the decomposer guild, reducing diversity over multiple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Snail species richness — particularly the diversity of calcium-dependent species — is a sensitive indicator of soil biological health and habitat quality. A field margin supporting 10+ snail species indicates good soil pH buffering and organic matter availability; a margin with 1–2 abundant species indicates biological impoverishment (Müller et al. 2020).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outbreaks — slug pressure in arable crops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Surface-active slug abundance in arable soils (particularly Deroceras reticulatum, Arion hortensis) is the primary biological early warning indicator of crop damage risk in autumn-sown cereal and oilseed rape systems. Refuge trap counts above damage thresholds [~] signal intervention need; counts below threshold allow reduction of molluscicide applications (Glen et al. 2006).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pH imbalance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Snail species richness is among the most accessible biological proxies for soil pH and calcium status — their distribution along pH gradients is better documented than almost any other soil fauna group. Declining snail species richness in field margins, particularly the loss of larger Helicidae species, signals progressive soil acidification (Wäreborn 1970).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matter depletion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Total gastropod abundance correlates with surface organic matter availability — declining abundance across all guilds signals reducing organic substrate for the decomposer food web.</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quality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Decomposer gastropods fragment and ingest surface organic matter, accelerating decomposition and nutrient cycling in the surface soil and litter layer. Their feeding contributes to the formation of soil aggregates through the passage of organic material through their digestive system and the mucus trails they deposit on the soil surface (Barker 2004).</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 (trophic link)</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Gastropods are the primary prey of several important natural pest predators — song thrushes, hedgehogs, slow worms, and ground beetles all depend substantially on gastropod prey. A diverse gastropod community supports predator populations that in turn provide pest control services. The relationship is indirect but ecologically well-founded (Barker 2004).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Thrushes and other gastropod-dependent birds are farmland indicator species — their presence depends on adequate gastropod food resource. Gastropod community diversity monitoring provides an indirect habitat quality indicator for these species.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context for pest slug monitoring — arable crops are the primary site of economically significant slug pressure. Biodiversity monitoring most useful in crop margins and headlands.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 permanent grassland supports higher gastropod diversity than arable; monitoring relevant for both biodiversity and molluscicide impact assessment.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traditional grasslands with calcareous soils support the highest snail species richness. Priority monitoring context for biodiversity assessment.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EFGs with moisture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Gastropods are present globally in all habitats with adequate soil moisture.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for pest slug monitoring; relevant for biodiversity monitoring in field margins.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highest gastropod biodiversity and most interpretable community trends.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type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Soil Type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Calcareous soils (Rendzinas, chalk-derived Cambisols)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snail species richness — abundant dissolved calcium supports diverse shell-forming species including large Helicidae (Helix pomatia, Cepaea species) that are entirely absent from acid soils. Priority monitoring context for gastropod biodiversity (Wäreborn 1970; Waldén 1981). [geo — temperate European]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Clay-rich neutral soils (Cambisols, Luvisols, pH 5.5–7.0)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Moderate to good snail diversity — supports intermediate calcium-dependent species. Most productive monitoring context for tracking management-driven community change.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Acid soils (Podzols, pH &lt; 5.5)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Very low snail species richness — calcium limitation restricts communities to a few acid-tolerant species (Oxychilus species, Nesovitrea hammonis). Slug diversity may be relatively unaffected by pH but species composition differs.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Sandy soils (Arenosols)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 gastropod abundance due to rapid moisture loss — dry sandy soils are physiologically inhospitable. Communities present but sparse; monitoring most productive after rainfall events.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Autumn-sown cereals and oilseed rape (primary slug pest context)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agricultural pest slug pressure — warm, moist autumn conditions following harvest favour rapid population increase of Deroceras reticulatum and Arion hortensis on surface crop residues. New drilling into soil followed by autumn rains creates peak germination risk. Monitoring at drilling determines intervention need (Glen et al. 2006).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grassland and hay meadow (primary biodiversity monitoring context)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snail species diversity — undisturbed organic soil surface with calcium availability in neutral to calcareous conditions. Most interpretable monitoring context for community biodiversity assessment.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Field margins adjacent to hedgerows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Intermediate context — combines the shelter and calcium source of hedgerow leaf litter with the edge effects of adjacent arable management. Most productive for detecting management improvement effects on snail species richness.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pH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pH is the primary abiotic determinant of snail species diversity — pH above 6.0 [~] is required for most calcium-dependent species; diversity declines steeply below pH 5.5. pH recovery under reduced acid fertiliser inputs should precede snail species richness increase by 1–3 seasons as calcium availability improves (Wäreborn 1970). This is the most direct abiotic-biological linkage for gastropods.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SOC improvement under reduced tillage and organic amendment addition increases food substrate availability and soil moisture retention for the decomposer gastropod guild. SOC improvement precedes gastropod abundance increases by 1–2 seasons.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ground cover providing permanent surface organic matter layer sustains the surface-active gastropod guild — bare soil causes desiccation mortality. Ground cover improvement precedes surface-active guild recovery by 1–2 seasons as moisture refuges become available.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Apply compost and organic amendments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Compost and organic matter additions increase food substrate for decomposer gastropods and improve the surface moisture conditions that sustain surface-active species. Application to field margins is particularly beneficial for snail species diversity.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 permanent soil cover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surface cover prevents desiccation of surface-active species during dry periods and maintains the moisture film conditions that gastropods require for movement and feeding. Cover crop residue retention directly benefits this group.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 adaptive grazing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Moderate grazing with adequate rest periods maintains the surface organic matter layer and plant community diversity that supports diverse gastropod communities. Overgrazing eliminates surface refuges; abandonment can allow rank vegetation that suppresses the surface organic matter quality gastropods require.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synthetic pesticides — molluscicide reduction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The most direct biological verification signal for molluscicide reduction is recovery of non-target snail species diversity — particularly in field margins where decomposer and arboreal snail guilds are most sensitive to molluscicide application. Pest slug abundance in the field may initially increase following molluscicide reduction — the monitoring programme should distinguish between non-target recovery (positive) and pest increase (management information) rather than treating all gastropod abundance increase as positive (Barker 2004).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Non-target snail species richness increasing in field margins within 2–4 seasons of molluscicide reduction; decomposer guild recovery in soil fauna within 1–3 seasons; pest slug populations (Deroceras reticulatum, Arion species) may initially increase following molluscicide cessation — damage threshold monitoring recommended in arable systems to determine whether management adjustment is needed.</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tillage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Soil-dwelling gastropod egg survival and adult abundance improve measurably under no-till or minimum-till management — protection of egg masses and food substrate continuity are the primary mechanisms. Total gastropod abundance increase under no-till is a direct verification signal for tillage reduction practice (Barker 2004).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Total gastropod abundance (all guilds combined) increasing measurably within 1–2 seasons of tillage cessation; soil-dwelling guild specifically increases as egg survival improves; snail species richness in associated field margins increases over 3–5 years as surface conditions improve.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10 — Ground beetles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Ground beetles (carabids) are among the primary natural predators of surface-active gastropods. Diverse gastropod communities support diverse ground beetle populations through prey resource availability; ground beetle predation in turn regulates surface slug abundance. Both groups respond positively to reduced tillage and molluscicide use — their joint recovery is expected and mutually reinforcing.</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06 — Earthworms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Gastropod mucus trails on the soil surface provide a food resource for bacteria that sustain earthworm food substrate quality. Gastropod feeding and decomposition activity complements earthworm activity in breaking down surface organic matter — the two groups are functionally complementary in the litter decomposition pathway.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 — Farmland birds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Song thrushes, mistle thrushes, and other gastropod-dependent farmland birds require a consistent supply of accessible snails. Gastropod community diversity — particularly the presence of larger snail species — is a primary predictor of thrush foraging habitat quality in agricultural landscapes.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Dynamic content — validated by malacologists and field invertebrate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Visual search transect — slow systematic walking of the monitoring area counting visible snails and slug sign. Larger snail species are identifiable to family level by shell morphology with a photographic reference guide. Survey conducted at dusk or after rain for maximum gastropod activity.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Gastropod visual search transect — community observer count and guild classification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Snail and slug presence and abundance within the monitoring area; rough guild classification (snail / slug; surface-active / soil-dwelling); presence of larger shell-bearing species as calcium proxy.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Survey in the evening (one hour after sunset) or in the early morning after rainfall — when gastropods are most surface-active. In dry conditions daytime survey under surface refuges (logs, stones, debris piles) is an alternative.</w:t>
            </w:r>
          </w:p>
          <w:p>
            <w:pPr>
              <w:spacing w:after="40" w:before="0"/>
              <w:jc w:val="left"/>
            </w:pPr>
            <w:r>
              <w:rPr>
                <w:rFonts w:ascii="Arial" w:cs="Arial" w:eastAsia="Arial" w:hAnsi="Arial"/>
                <w:b w:val="false"/>
                <w:bCs w:val="false"/>
                <w:color w:val="000000"/>
                <w:sz w:val="17"/>
                <w:szCs w:val="17"/>
              </w:rPr>
              <w:t xml:space="preserve">2. Walk a fixed 50m transect through the monitoring area (field margin, grassland, or crop headland) at a slow pace — approximately 10 minutes per 50m. Search within 0.5m either side of the transect line at ground level.</w:t>
            </w:r>
          </w:p>
          <w:p>
            <w:pPr>
              <w:spacing w:after="40" w:before="0"/>
              <w:jc w:val="left"/>
            </w:pPr>
            <w:r>
              <w:rPr>
                <w:rFonts w:ascii="Arial" w:cs="Arial" w:eastAsia="Arial" w:hAnsi="Arial"/>
                <w:b w:val="false"/>
                <w:bCs w:val="false"/>
                <w:color w:val="000000"/>
                <w:sz w:val="17"/>
                <w:szCs w:val="17"/>
              </w:rPr>
              <w:t xml:space="preserve">3. Count all visible snails and slugs in the 50m × 1m transect band. Classify each as: snail (shell visible) / slug (no external shell or shell internal). Further classify snail by size class: small (&lt;5mm shell) / medium (5–15mm shell) / large (&gt;15mm shell). Note presence of any identifiable species using the photographic reference guide.</w:t>
            </w:r>
          </w:p>
          <w:p>
            <w:pPr>
              <w:spacing w:after="80" w:before="0"/>
              <w:jc w:val="left"/>
            </w:pPr>
            <w:r>
              <w:rPr>
                <w:rFonts w:ascii="Arial" w:cs="Arial" w:eastAsia="Arial" w:hAnsi="Arial"/>
                <w:b w:val="false"/>
                <w:bCs w:val="false"/>
                <w:color w:val="000000"/>
                <w:sz w:val="17"/>
                <w:szCs w:val="17"/>
              </w:rPr>
              <w:t xml:space="preserve">4. In arable crop contexts, also record any slug feeding damage signs: ragged leaf edges, mucus trails on crop leaves, surface scratch marks on seeds or seedlings.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Headtorch (for dusk survey); photographic gastropod identification guide (regional); field datasheet; camera; ruler (for shell size measurement).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with a 30-minute briefing on snail vs slug distinction, size class classification, and common species recognition using a photographic guide. Larger snail species (Helix pomatia, Cepaea species in temperate Europe [geo]) are visually distinctive and reliably identifiable with photographic reference.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to early summer (April–June in temperate Europe) — when gastropods are most active after winter dormancy and populations reflect winter survival and spring reproduction. Also: September–October for peak surface-active slug populations before autumn crop emergence in arable contexts.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particularly important for arable pest slug assessment before drilling of autumn crops.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30–45 minutes per 50m transect for evening survey including travel to monitoring point at dusk.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primary spring survey and secondary autumn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community trends; snail species richness trends interpretable from Year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snail count (per 50m transect); total slug count; snail size class distribution; presence of large shell-bearing species (named if identifiable); feeding damage score (0 = none / 1 = trace / 2 = moderate / 3 = heavy) in arable contexts.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Context shot: photograph monitoring transect direction showing habitat character. (2) Shell documentation: photograph any snail encountered from above showing shell morphology — essential for species identification confirmation. Include ruler for scale. (3) Feeding damage: photograph any slug damage on crop leaves or seedlings showing characteristic ragged margins and mucus trails.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juvenile snails with slug eggs or other invertebrates. Small juvenile snails (&lt;2mm) have fully formed but tiny shells — visible with a hand lens. Slug eggs are white translucent oval masses in soil or under debris. These are different recording categories.</w:t>
            </w:r>
          </w:p>
          <w:p>
            <w:pPr>
              <w:spacing w:after="60" w:before="0"/>
              <w:jc w:val="left"/>
            </w:pPr>
            <w:r>
              <w:rPr>
                <w:rFonts w:ascii="Arial" w:cs="Arial" w:eastAsia="Arial" w:hAnsi="Arial"/>
                <w:b w:val="false"/>
                <w:bCs w:val="false"/>
                <w:color w:val="000000"/>
                <w:sz w:val="16"/>
                <w:szCs w:val="16"/>
              </w:rPr>
              <w:t xml:space="preserve">Second error: missing nocturnal peak activity. Surveys conducted in bright daylight on dry days massively undercount surface-active slugs — most are sheltering in soil or under debris. Dusk or post-rain surveys are essential for accurate abundance assessment.</w:t>
            </w:r>
          </w:p>
          <w:p>
            <w:pPr>
              <w:spacing w:after="80" w:before="0"/>
              <w:jc w:val="left"/>
            </w:pPr>
            <w:r>
              <w:rPr>
                <w:rFonts w:ascii="Arial" w:cs="Arial" w:eastAsia="Arial" w:hAnsi="Arial"/>
                <w:b w:val="false"/>
                <w:bCs w:val="false"/>
                <w:color w:val="000000"/>
                <w:sz w:val="16"/>
                <w:szCs w:val="16"/>
              </w:rPr>
              <w:t xml:space="preserve">Third error: confusing terrestrial snails with aquatic snails or freshwater bivalves in wet areas. Terrestrial snails have a dry, matte shell surface and are found on soil or vegetation; freshwater species have glossy shells and are associated with standing water. Only count terrestrial species in this transect.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Large snail species (Helix, Cepaea [geo]) present: calcium-rich soil conditions confirmed — positive indicator of soil pH buffering and habitat quality. Connect to Challenge #6 (Soil pH imbalance) resolution and A8 precursor A08 (Soil pH) improvement.</w:t>
            </w:r>
          </w:p>
          <w:p>
            <w:pPr>
              <w:spacing w:after="50" w:before="0"/>
              <w:jc w:val="left"/>
            </w:pPr>
            <w:r>
              <w:rPr>
                <w:rFonts w:ascii="Arial" w:cs="Arial" w:eastAsia="Arial" w:hAnsi="Arial"/>
                <w:b w:val="false"/>
                <w:bCs w:val="false"/>
                <w:color w:val="000000"/>
                <w:sz w:val="17"/>
                <w:szCs w:val="17"/>
              </w:rPr>
              <w:t xml:space="preserve">High slug count with feeding damage score &gt;2 in arable context: slug pressure at or near damage threshold — recommend Level 2 quantitative trap count before management decision. Do NOT recommend automatic molluscicide application based on visual count alone.</w:t>
            </w:r>
          </w:p>
          <w:p>
            <w:pPr>
              <w:spacing w:after="80" w:before="0"/>
              <w:jc w:val="left"/>
            </w:pPr>
            <w:r>
              <w:rPr>
                <w:rFonts w:ascii="Arial" w:cs="Arial" w:eastAsia="Arial" w:hAnsi="Arial"/>
                <w:b w:val="false"/>
                <w:bCs w:val="false"/>
                <w:color w:val="000000"/>
                <w:sz w:val="16"/>
                <w:szCs w:val="16"/>
              </w:rPr>
              <w:t xml:space="preserve">Zero gastropods in spring survey in a moist habitat: concerning absence — check for recent molluscicide use history. If no molluscicides, check for soil acidification (A08 precursor) or extreme soil compaction (A02 precursor).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Dusk survey — carry headtorch and mobile phone. Inform someone of survey location and expected return time for remote sites. Be aware of uneven ground when walking at dusk. Wear appropriate waterproof footwear for wet grass surveys.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Simplified from standard malacological transect survey methodology; Glen DM et al. (2006) slug damage threshold reference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https://doi.org/10.1017/S000748530600728X</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Refuge trap survey — standardised flat tile or plywood traps placed on the soil surface overnight attract surface-active gastropods seeking shelter. Provides quantitative abundance per trap per night, sufficient for damage threshold assessment and trend monitoring.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Refuge trap survey — standardised tile trap counts for gastropod abundance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Quantitative gastropod abundance per trap per night for surface-active species; slug species-level count where identification is possible by colour-form; snail species-level count using shell morphology; damage threshold assessment (agricultural pest context); guild composition.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Place 10 standard flat refuge traps (30cm × 30cm plywood or slate tiles, or untreated corrugated cardboard) at fixed marked positions along the monitoring transect — 5m apart. Place traps on bare or litter-covered soil surface in the evening. Do not bait traps.</w:t>
            </w:r>
          </w:p>
          <w:p>
            <w:pPr>
              <w:spacing w:after="40" w:before="0"/>
              <w:jc w:val="left"/>
            </w:pPr>
            <w:r>
              <w:rPr>
                <w:rFonts w:ascii="Arial" w:cs="Arial" w:eastAsia="Arial" w:hAnsi="Arial"/>
                <w:b w:val="false"/>
                <w:bCs w:val="false"/>
                <w:color w:val="000000"/>
                <w:sz w:val="17"/>
                <w:szCs w:val="17"/>
              </w:rPr>
              <w:t xml:space="preserve">2. Return in the early morning (before 8am or as soon as light allows) — before traps warm up and gastropods disperse. Carefully lift each trap and count all gastropods sheltering underneath. Record count per trap, guild classification (slug species or colour form; snail species), and any eggs present.</w:t>
            </w:r>
          </w:p>
          <w:p>
            <w:pPr>
              <w:spacing w:after="40" w:before="0"/>
              <w:jc w:val="left"/>
            </w:pPr>
            <w:r>
              <w:rPr>
                <w:rFonts w:ascii="Arial" w:cs="Arial" w:eastAsia="Arial" w:hAnsi="Arial"/>
                <w:b w:val="false"/>
                <w:bCs w:val="false"/>
                <w:color w:val="000000"/>
                <w:sz w:val="17"/>
                <w:szCs w:val="17"/>
              </w:rPr>
              <w:t xml:space="preserve">3. Photograph collected gastropods before release. Release all animals within the monitoring area.</w:t>
            </w:r>
          </w:p>
          <w:p>
            <w:pPr>
              <w:spacing w:after="80" w:before="0"/>
              <w:jc w:val="left"/>
            </w:pPr>
            <w:r>
              <w:rPr>
                <w:rFonts w:ascii="Arial" w:cs="Arial" w:eastAsia="Arial" w:hAnsi="Arial"/>
                <w:b w:val="false"/>
                <w:bCs w:val="false"/>
                <w:color w:val="000000"/>
                <w:sz w:val="17"/>
                <w:szCs w:val="17"/>
              </w:rPr>
              <w:t xml:space="preserve">4. Calculate: mean number of slugs per trap per night; mean number of snails per trap per night; damage threshold index (for arable contexts — compare slug count against regional damage threshold reference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10 × 30cm × 30cm plywood or slate tiles (or corrugated cardboard); GPS or permanent marker posts for trap positions; field datasheet;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supervised training in slug colour-form classification (Deroceras reticulatum = pale, keeled; Arion species = darker, no keel; Milax species = pale with dorsal keel) and snail shell identification using a regional guide. Training with a malacologist for 4 hours is recommended before independent surveying.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September to October in temperate Europe, for the pre-drilling pest risk assessment window. Additionally: spring (April–May) for post-winter community recovery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for biodiversity monitoring and seasonal comparison.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10 minutes trap placement (evening); 30–45 minutes counting and recording (morning).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autumn and spring.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abundance trend; annual for agricultural decision support.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Mean slug abundance per trap per night; mean snail abundance per trap per night; slug species composition (colour-form classification); damage threshold index (arable contexts); snail species list from combined visual and trap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Trap setup photograph at each position. (2) Under-trap photograph showing all gastropods in situ before counting. (3) Individual slug photographs for colour-form reference. (4) Snail shell photographs with ruler scale.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Mean slug count &gt;4 per trap per night [~] in pre-drilling arable survey: above standard UK damage threshold — recommend further assessment before drilling decision [geo temperate arable context]. Note: this threshold does not apply automatically across all crop types and soil conditions — consult regional agricultural advisory services.</w:t>
            </w:r>
          </w:p>
          <w:p>
            <w:pPr>
              <w:spacing w:after="80" w:before="0"/>
              <w:jc w:val="left"/>
            </w:pPr>
            <w:r>
              <w:rPr>
                <w:rFonts w:ascii="Arial" w:cs="Arial" w:eastAsia="Arial" w:hAnsi="Arial"/>
                <w:b w:val="false"/>
                <w:bCs w:val="false"/>
                <w:color w:val="000000"/>
                <w:sz w:val="16"/>
                <w:szCs w:val="16"/>
              </w:rPr>
              <w:t xml:space="preserve">Snail species richness increasing under mollusc-friendly management: positive biodiversity trend — verify P11 (molluscicide reduction) and connect to A8 precursor A08 (soil pH) improvement.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Retrieve traps promptly in the morning — warmed traps are ineffective. Dispose of cardboard traps in farm waste — do not leave paper traps in watercourses. Be aware of livestock movement when placing and retrieving traps in grazed fields.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Glen DM, Wiltshire CW, Wynn SD, Hughes LA (2006) Slug damage thresholds in winter wheat — see References; Barker GM (2004)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https://doi.org/10.1017/S000748530600728X</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Species-level malacological survey with systematic soil sampling for sub-surface species, shell fragment analysis of dead assemblages, and metabarcoding for cryptic slug species identification.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malacological survey with soil sampling and metabarcoding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gastropod species inventory including surface-active, soil-dwelling, and dead shell assemblage; quantitative soil sampling for sub-surface species; metabarcoding for cryptic slug species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 Surface survey: Level 2 traps plus systematic 30-minute timed search per habitat zone. (b) Soil sampling for sub-surface species: collect 20 × 10cm diameter × 20cm depth cores per monitoring area; float contents in water and sort for small shell-bearing species (Cecilioides acicula, Oxychilus, Vitrina spp.). (c) Dead shell sampling: collect 1 litre of surface litter and topsoil per sampling point; dry and sieve through 1mm and 0.5mm mesh; identify shell fragments to species level under binocular microscope — dead assemblages provide a time-integrated community record. (d) Metabarcoding: soil samples extracted for eDNA; amplified using COI primers specific for Gastropoda for cryptic slug species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corer (10cm diameter); buckets for flotation; 1mm and 0.5mm sieves; binocular microscope (10–40×); regional malacological identification key; eDNA extraction kit and sequencing access.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Malacologist for species-level identification; molecular ecologist for metabarcoding. Shell identification to species level from fragments requires specialist malacology training.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for active animals. Dead shell analysis can be conducted year-round.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Dead shell analysis from Year 1 baseline provides immediate historical community context.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community composition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species list (live + dead shell assemblage); species richness; Shannon diversity; soil-dwelling species richness; metabarcoding-derived slug species list; calcium index (species richness of calcium-dependent species as % of total).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2 photographs plus: specimen photographs of any live surface species; microscopy photographs of shell fragments used for dead assemblage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Calcium index (proportion of calcium-dependent species) increasing over 5+ years: soil pH recovery confirmed through biological community trajectory — most comprehensive biological verification of reduced acid fertiliser inputs. Dead shell assemblage diversity higher than live assemblage: historical community degradation documented — evidence of management intensity increase in recent decades.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flotation — dispose of water on site. Metabarcoding laboratory standard molecular biology safety.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Barker GM (2004); Müller J et al. (2020); Wäreborn I (1970)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https://doi.org/10.1007/978-1-4615-0377-0</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Barker GM (ed) (2004) Natural Enemies of Terrestrial Molluscs. CABI International, Wallingford.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https://doi.org/10.1079/9780851993195.0000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A3; B2; Ecological rationale; Protocol Level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Glen DM, Wiltshire CW, Wynn SD, Hughes LA (2006) Decisions for slug control: factors affecting damage thresholds in winter wheat. Crop Protection 25:1065–1071.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https://doi.org/10.1017/S000748530600728X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B2; Protocol Level 2 (damage threshold)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Müller J, Hothorn T, Pretzsch H, Klemmt HJ, Hoffmann N, Blaschke M, Bässler C, Strätz C (2020) Biodiversity of terrestrial molluscs in Europe. Diversity 12:412.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https://doi.org/10.3390/d12110412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A6; B2; 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Speiser B, Zaller JG, Neudecker A (2001) Size-specific susceptibility of the slug pests Deroceras reticulatum and Arion lusitanicus to the nematode biocontrol agent Phasmarhabditis hermaphrodita. Biocontrol 46:311–320.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https://doi.org/10.1023/A:1011457412534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B2; Response timescale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Waldén HW (1981) Communities and diversity of land molluscs in Scandinavian woodlands. I. High diversity communities in taluses and boulder slopes in SW Sweden. Journal of Conchology 30:351–372.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No DOI — Journal of Conchology 30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A6; A8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Wäreborn I (1970) Land molluscs and their environments in an oligotrophic area in southern Sweden. Oikos 21:285–291.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https://doi.org/10.2307/3543815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A6; A8; Response timescale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Welter-Schultes FW (2012) European non-marine molluscs: a guide for species identification. Planet Poster Editions, Göttingen. [geo — European fauna]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9783935506083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Levels 1 and 2 (species identification) [geo]</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07 — Terrestrial snails and slugs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07 — Terrestrial snails and slugs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6852012-A255-4E30-BE50-CB7932BD14F9}"/>
</file>

<file path=customXml/itemProps2.xml><?xml version="1.0" encoding="utf-8"?>
<ds:datastoreItem xmlns:ds="http://schemas.openxmlformats.org/officeDocument/2006/customXml" ds:itemID="{2B241FA5-A33D-4CE1-9212-4393251597DA}"/>
</file>

<file path=customXml/itemProps3.xml><?xml version="1.0" encoding="utf-8"?>
<ds:datastoreItem xmlns:ds="http://schemas.openxmlformats.org/officeDocument/2006/customXml" ds:itemID="{500F8EB8-BA6C-4D57-90A5-D3CFFA90C32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2026-04-12T10:34:15Z</dcterms:created>
  <dcterms:modified xsi:type="dcterms:W3CDTF">2026-04-12T10:34:15Z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